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8" w:rsidRDefault="00127F5E" w:rsidP="00E207C8">
      <w:pPr>
        <w:jc w:val="right"/>
        <w:rPr>
          <w:rFonts w:ascii="Arial" w:hAnsi="Arial" w:cs="Arial"/>
          <w:b/>
          <w:sz w:val="28"/>
          <w:szCs w:val="28"/>
          <w:u w:val="single"/>
        </w:rPr>
      </w:pPr>
      <w:r>
        <w:rPr>
          <w:rFonts w:ascii="Arial" w:hAnsi="Arial" w:cs="Arial"/>
          <w:b/>
          <w:sz w:val="28"/>
          <w:szCs w:val="28"/>
          <w:u w:val="single"/>
        </w:rPr>
        <w:t xml:space="preserve">Legal Obligation </w:t>
      </w:r>
      <w:r w:rsidR="00E207C8">
        <w:rPr>
          <w:rFonts w:ascii="Arial" w:hAnsi="Arial" w:cs="Arial"/>
          <w:b/>
          <w:sz w:val="28"/>
          <w:szCs w:val="28"/>
          <w:u w:val="single"/>
        </w:rPr>
        <w:t>Template</w:t>
      </w:r>
    </w:p>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3D1B12" w:rsidRDefault="003D1B12" w:rsidP="00044551">
      <w:pPr>
        <w:ind w:left="709" w:hanging="709"/>
        <w:rPr>
          <w:rFonts w:ascii="Arial" w:hAnsi="Arial" w:cs="Arial"/>
          <w:i/>
          <w:sz w:val="28"/>
          <w:szCs w:val="28"/>
        </w:rPr>
      </w:pPr>
      <w:r>
        <w:rPr>
          <w:rFonts w:ascii="Arial" w:hAnsi="Arial" w:cs="Arial"/>
          <w:sz w:val="28"/>
          <w:szCs w:val="28"/>
        </w:rPr>
        <w:tab/>
      </w:r>
      <w:r w:rsidRPr="003D1B12">
        <w:rPr>
          <w:rFonts w:ascii="Arial" w:hAnsi="Arial" w:cs="Arial"/>
          <w:i/>
          <w:color w:val="365F91" w:themeColor="accent1" w:themeShade="BF"/>
          <w:sz w:val="28"/>
          <w:szCs w:val="28"/>
        </w:rPr>
        <w:t>The Emergency Planning Team help to support the emergency services and other organisations with their emergency response in a number of ways,</w:t>
      </w:r>
      <w:r>
        <w:rPr>
          <w:rFonts w:ascii="Arial" w:hAnsi="Arial" w:cs="Arial"/>
          <w:i/>
          <w:color w:val="365F91" w:themeColor="accent1" w:themeShade="BF"/>
          <w:sz w:val="28"/>
          <w:szCs w:val="28"/>
        </w:rPr>
        <w:t xml:space="preserve"> including: arranging emergency </w:t>
      </w:r>
      <w:r w:rsidRPr="003D1B12">
        <w:rPr>
          <w:rFonts w:ascii="Arial" w:hAnsi="Arial" w:cs="Arial"/>
          <w:i/>
          <w:color w:val="365F91" w:themeColor="accent1" w:themeShade="BF"/>
          <w:sz w:val="28"/>
          <w:szCs w:val="28"/>
        </w:rPr>
        <w:t>accommodation should members of the public be evacuated from their homes providing emergency transport to move members of the public from the scene of an emergency to a safe location coordinating services that the Council provides that are required as part of the emergency response providing emergency information to the public.</w:t>
      </w:r>
      <w:r w:rsidR="00A65BA5" w:rsidRPr="003D1B12">
        <w:rPr>
          <w:rFonts w:ascii="Arial" w:hAnsi="Arial" w:cs="Arial"/>
          <w:i/>
          <w:color w:val="365F91" w:themeColor="accent1" w:themeShade="BF"/>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4.</w:t>
      </w:r>
      <w:r>
        <w:rPr>
          <w:rFonts w:ascii="Arial" w:hAnsi="Arial" w:cs="Arial"/>
          <w:sz w:val="28"/>
          <w:szCs w:val="28"/>
        </w:rPr>
        <w:tab/>
      </w: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003D1B12" w:rsidRPr="00144E7E">
        <w:rPr>
          <w:rFonts w:ascii="Arial" w:hAnsi="Arial" w:cs="Arial"/>
          <w:i/>
          <w:color w:val="365F91" w:themeColor="accent1" w:themeShade="BF"/>
          <w:sz w:val="28"/>
          <w:szCs w:val="28"/>
        </w:rPr>
        <w:t>Health and Safety Executive, Police, Fire Service, Ambulance, NHS/GP, Public Health Wales</w:t>
      </w:r>
      <w:r w:rsidR="003D1B12">
        <w:rPr>
          <w:rFonts w:ascii="Arial" w:hAnsi="Arial" w:cs="Arial"/>
          <w:i/>
          <w:color w:val="365F91" w:themeColor="accent1" w:themeShade="BF"/>
          <w:sz w:val="28"/>
          <w:szCs w:val="28"/>
        </w:rPr>
        <w:t>, MCA, RNLI, WECTU</w:t>
      </w:r>
      <w:r w:rsidR="003D1B12">
        <w:rPr>
          <w:rFonts w:ascii="Arial" w:hAnsi="Arial" w:cs="Arial"/>
          <w:i/>
          <w:color w:val="365F91" w:themeColor="accent1" w:themeShade="BF"/>
          <w:sz w:val="28"/>
          <w:szCs w:val="28"/>
        </w:rPr>
        <w:t xml:space="preserve">, Military, NRW, Welsh </w:t>
      </w:r>
      <w:proofErr w:type="spellStart"/>
      <w:r w:rsidR="003D1B12">
        <w:rPr>
          <w:rFonts w:ascii="Arial" w:hAnsi="Arial" w:cs="Arial"/>
          <w:i/>
          <w:color w:val="365F91" w:themeColor="accent1" w:themeShade="BF"/>
          <w:sz w:val="28"/>
          <w:szCs w:val="28"/>
        </w:rPr>
        <w:t>Govenrment</w:t>
      </w:r>
      <w:proofErr w:type="spellEnd"/>
      <w:r w:rsidR="003D1B12">
        <w:rPr>
          <w:rFonts w:ascii="Arial" w:hAnsi="Arial" w:cs="Arial"/>
          <w:i/>
          <w:color w:val="365F91" w:themeColor="accent1" w:themeShade="BF"/>
          <w:sz w:val="28"/>
          <w:szCs w:val="28"/>
        </w:rPr>
        <w:t xml:space="preserve">, TATA Steel, BOC, </w:t>
      </w:r>
      <w:proofErr w:type="spellStart"/>
      <w:r w:rsidR="003D1B12">
        <w:rPr>
          <w:rFonts w:ascii="Arial" w:hAnsi="Arial" w:cs="Arial"/>
          <w:i/>
          <w:color w:val="365F91" w:themeColor="accent1" w:themeShade="BF"/>
          <w:sz w:val="28"/>
          <w:szCs w:val="28"/>
        </w:rPr>
        <w:t>Flogas</w:t>
      </w:r>
      <w:proofErr w:type="spellEnd"/>
      <w:r w:rsidR="003D1B12">
        <w:rPr>
          <w:rFonts w:ascii="Arial" w:hAnsi="Arial" w:cs="Arial"/>
          <w:i/>
          <w:color w:val="365F91" w:themeColor="accent1" w:themeShade="BF"/>
          <w:sz w:val="28"/>
          <w:szCs w:val="28"/>
        </w:rPr>
        <w:t xml:space="preserve">, </w:t>
      </w:r>
      <w:proofErr w:type="spellStart"/>
      <w:r w:rsidR="003D1B12">
        <w:rPr>
          <w:rFonts w:ascii="Arial" w:hAnsi="Arial" w:cs="Arial"/>
          <w:i/>
          <w:color w:val="365F91" w:themeColor="accent1" w:themeShade="BF"/>
          <w:sz w:val="28"/>
          <w:szCs w:val="28"/>
        </w:rPr>
        <w:t>Calor</w:t>
      </w:r>
      <w:proofErr w:type="spellEnd"/>
      <w:r w:rsidR="003D1B12">
        <w:rPr>
          <w:rFonts w:ascii="Arial" w:hAnsi="Arial" w:cs="Arial"/>
          <w:i/>
          <w:color w:val="365F91" w:themeColor="accent1" w:themeShade="BF"/>
          <w:sz w:val="28"/>
          <w:szCs w:val="28"/>
        </w:rPr>
        <w:t xml:space="preserve"> Gas, Western Power, </w:t>
      </w:r>
      <w:proofErr w:type="spellStart"/>
      <w:r w:rsidR="003D1B12">
        <w:rPr>
          <w:rFonts w:ascii="Arial" w:hAnsi="Arial" w:cs="Arial"/>
          <w:i/>
          <w:color w:val="365F91" w:themeColor="accent1" w:themeShade="BF"/>
          <w:sz w:val="28"/>
          <w:szCs w:val="28"/>
        </w:rPr>
        <w:t>Dwr</w:t>
      </w:r>
      <w:proofErr w:type="spellEnd"/>
      <w:r w:rsidR="003D1B12">
        <w:rPr>
          <w:rFonts w:ascii="Arial" w:hAnsi="Arial" w:cs="Arial"/>
          <w:i/>
          <w:color w:val="365F91" w:themeColor="accent1" w:themeShade="BF"/>
          <w:sz w:val="28"/>
          <w:szCs w:val="28"/>
        </w:rPr>
        <w:t xml:space="preserve"> </w:t>
      </w:r>
      <w:proofErr w:type="spellStart"/>
      <w:r w:rsidR="003D1B12">
        <w:rPr>
          <w:rFonts w:ascii="Arial" w:hAnsi="Arial" w:cs="Arial"/>
          <w:i/>
          <w:color w:val="365F91" w:themeColor="accent1" w:themeShade="BF"/>
          <w:sz w:val="28"/>
          <w:szCs w:val="28"/>
        </w:rPr>
        <w:t>Cymru</w:t>
      </w:r>
      <w:proofErr w:type="spellEnd"/>
      <w:r w:rsidR="003D1B12">
        <w:rPr>
          <w:rFonts w:ascii="Arial" w:hAnsi="Arial" w:cs="Arial"/>
          <w:i/>
          <w:color w:val="365F91" w:themeColor="accent1" w:themeShade="BF"/>
          <w:sz w:val="28"/>
          <w:szCs w:val="28"/>
        </w:rPr>
        <w:t>, Telecommunications providers, National Grid, Transport providers, Associated British Ports, Neath Harbour Authority, other Local Authorities, Voluntary Agencies</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CC1BBC" w:rsidRPr="00CC1BBC" w:rsidRDefault="00CC1BBC" w:rsidP="00CC1BBC">
      <w:pPr>
        <w:autoSpaceDE w:val="0"/>
        <w:autoSpaceDN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color w:val="365F91" w:themeColor="accent1" w:themeShade="BF"/>
          <w:sz w:val="28"/>
          <w:szCs w:val="28"/>
        </w:rPr>
        <w:t>Process to develop the</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emergency/disaster plan</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for the local community</w:t>
      </w:r>
      <w:r w:rsidRPr="00CC1BBC">
        <w:rPr>
          <w:rFonts w:ascii="Arial" w:hAnsi="Arial" w:cs="Arial"/>
          <w:i/>
          <w:color w:val="365F91" w:themeColor="accent1" w:themeShade="BF"/>
          <w:sz w:val="28"/>
          <w:szCs w:val="28"/>
        </w:rPr>
        <w:t xml:space="preserve"> – Do not destroy - </w:t>
      </w:r>
      <w:r w:rsidRPr="00CC1BBC">
        <w:rPr>
          <w:rFonts w:ascii="Arial" w:hAnsi="Arial" w:cs="Arial"/>
          <w:bCs/>
          <w:i/>
          <w:color w:val="365F91" w:themeColor="accent1" w:themeShade="BF"/>
          <w:sz w:val="28"/>
          <w:szCs w:val="28"/>
        </w:rPr>
        <w:t>Permanent</w:t>
      </w:r>
      <w:r w:rsidRPr="00CC1BBC">
        <w:rPr>
          <w:rFonts w:ascii="Arial" w:hAnsi="Arial" w:cs="Arial"/>
          <w:b/>
          <w:bCs/>
          <w:i/>
          <w:color w:val="365F91" w:themeColor="accent1" w:themeShade="BF"/>
          <w:sz w:val="28"/>
          <w:szCs w:val="28"/>
        </w:rPr>
        <w:t>.</w:t>
      </w:r>
      <w:r w:rsidRPr="00CC1BBC">
        <w:rPr>
          <w:rFonts w:ascii="Arial" w:hAnsi="Arial" w:cs="Arial"/>
          <w:b/>
          <w:bCs/>
          <w:i/>
          <w:color w:val="365F91" w:themeColor="accent1" w:themeShade="BF"/>
          <w:sz w:val="28"/>
          <w:szCs w:val="28"/>
        </w:rPr>
        <w:t xml:space="preserve"> </w:t>
      </w:r>
      <w:r w:rsidRPr="00CC1BBC">
        <w:rPr>
          <w:rFonts w:ascii="Arial" w:hAnsi="Arial" w:cs="Arial"/>
          <w:i/>
          <w:color w:val="365F91" w:themeColor="accent1" w:themeShade="BF"/>
          <w:sz w:val="28"/>
          <w:szCs w:val="28"/>
        </w:rPr>
        <w:t>Transfer to place of deposit</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after superseded</w:t>
      </w:r>
    </w:p>
    <w:p w:rsidR="00CC1BBC" w:rsidRPr="00CC1BBC" w:rsidRDefault="00CC1BBC" w:rsidP="00CC1BBC">
      <w:pPr>
        <w:autoSpaceDE w:val="0"/>
        <w:autoSpaceDN w:val="0"/>
        <w:adjustRightInd w:val="0"/>
        <w:spacing w:after="0" w:line="240" w:lineRule="auto"/>
        <w:rPr>
          <w:rFonts w:ascii="Arial" w:hAnsi="Arial" w:cs="Arial"/>
          <w:i/>
          <w:sz w:val="28"/>
          <w:szCs w:val="28"/>
        </w:rPr>
      </w:pPr>
    </w:p>
    <w:p w:rsidR="003D1B12" w:rsidRPr="00CC1BBC" w:rsidRDefault="003D1B12" w:rsidP="00CC1BBC">
      <w:pPr>
        <w:autoSpaceDE w:val="0"/>
        <w:autoSpaceDN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color w:val="365F91" w:themeColor="accent1" w:themeShade="BF"/>
          <w:sz w:val="28"/>
          <w:szCs w:val="28"/>
        </w:rPr>
        <w:t>Process of recording the</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results of the test for</w:t>
      </w:r>
      <w:r w:rsidR="00CC1BBC"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emergency/disaster plan</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for the local community</w:t>
      </w:r>
      <w:r w:rsidR="00CC1BBC" w:rsidRPr="00CC1BBC">
        <w:rPr>
          <w:rFonts w:ascii="Arial" w:hAnsi="Arial" w:cs="Arial"/>
          <w:i/>
          <w:color w:val="365F91" w:themeColor="accent1" w:themeShade="BF"/>
          <w:sz w:val="28"/>
          <w:szCs w:val="28"/>
        </w:rPr>
        <w:t xml:space="preserve"> - </w:t>
      </w:r>
      <w:r w:rsidRPr="00CC1BBC">
        <w:rPr>
          <w:rFonts w:ascii="Arial" w:hAnsi="Arial" w:cs="Arial"/>
          <w:i/>
          <w:color w:val="365F91" w:themeColor="accent1" w:themeShade="BF"/>
          <w:sz w:val="28"/>
          <w:szCs w:val="28"/>
        </w:rPr>
        <w:t xml:space="preserve">Destroy </w:t>
      </w:r>
      <w:r w:rsidRPr="00CC1BBC">
        <w:rPr>
          <w:rFonts w:ascii="Arial" w:hAnsi="Arial" w:cs="Arial"/>
          <w:b/>
          <w:bCs/>
          <w:i/>
          <w:color w:val="365F91" w:themeColor="accent1" w:themeShade="BF"/>
          <w:sz w:val="28"/>
          <w:szCs w:val="28"/>
        </w:rPr>
        <w:t xml:space="preserve">10 </w:t>
      </w:r>
      <w:r w:rsidRPr="00CC1BBC">
        <w:rPr>
          <w:rFonts w:ascii="Arial" w:hAnsi="Arial" w:cs="Arial"/>
          <w:i/>
          <w:color w:val="365F91" w:themeColor="accent1" w:themeShade="BF"/>
          <w:sz w:val="28"/>
          <w:szCs w:val="28"/>
        </w:rPr>
        <w:t>years after</w:t>
      </w:r>
      <w:r w:rsidRPr="00CC1BBC">
        <w:rPr>
          <w:rFonts w:ascii="Arial" w:hAnsi="Arial" w:cs="Arial"/>
          <w:i/>
          <w:color w:val="365F91" w:themeColor="accent1" w:themeShade="BF"/>
          <w:sz w:val="28"/>
          <w:szCs w:val="28"/>
        </w:rPr>
        <w:t xml:space="preserve"> C</w:t>
      </w:r>
      <w:r w:rsidRPr="00CC1BBC">
        <w:rPr>
          <w:rFonts w:ascii="Arial" w:hAnsi="Arial" w:cs="Arial"/>
          <w:i/>
          <w:color w:val="365F91" w:themeColor="accent1" w:themeShade="BF"/>
          <w:sz w:val="28"/>
          <w:szCs w:val="28"/>
        </w:rPr>
        <w:t>losure</w:t>
      </w:r>
    </w:p>
    <w:p w:rsidR="00CC1BBC" w:rsidRPr="00CC1BBC" w:rsidRDefault="00CC1BBC" w:rsidP="00CC1BBC">
      <w:pPr>
        <w:autoSpaceDE w:val="0"/>
        <w:autoSpaceDN w:val="0"/>
        <w:adjustRightInd w:val="0"/>
        <w:spacing w:after="0" w:line="240" w:lineRule="auto"/>
        <w:ind w:left="709"/>
        <w:rPr>
          <w:rFonts w:ascii="Arial" w:hAnsi="Arial" w:cs="Arial"/>
          <w:i/>
          <w:color w:val="365F91" w:themeColor="accent1" w:themeShade="BF"/>
          <w:sz w:val="28"/>
          <w:szCs w:val="28"/>
        </w:rPr>
      </w:pPr>
    </w:p>
    <w:p w:rsidR="00CC1BBC" w:rsidRPr="00CC1BBC" w:rsidRDefault="00CC1BBC" w:rsidP="00CC1BBC">
      <w:pPr>
        <w:autoSpaceDE w:val="0"/>
        <w:autoSpaceDN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color w:val="365F91" w:themeColor="accent1" w:themeShade="BF"/>
          <w:sz w:val="28"/>
          <w:szCs w:val="28"/>
        </w:rPr>
        <w:t xml:space="preserve">Major Incident </w:t>
      </w:r>
      <w:r w:rsidRPr="00CC1BBC">
        <w:rPr>
          <w:rFonts w:ascii="Arial" w:hAnsi="Arial" w:cs="Arial"/>
          <w:i/>
          <w:color w:val="365F91" w:themeColor="accent1" w:themeShade="BF"/>
          <w:sz w:val="28"/>
          <w:szCs w:val="28"/>
        </w:rPr>
        <w:t>Activities that report on all</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major incidents in the local</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community, whether the</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emergency plan has been</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invoked or not</w:t>
      </w:r>
      <w:r w:rsidRPr="00CC1BBC">
        <w:rPr>
          <w:rFonts w:ascii="Arial" w:hAnsi="Arial" w:cs="Arial"/>
          <w:i/>
          <w:color w:val="365F91" w:themeColor="accent1" w:themeShade="BF"/>
          <w:sz w:val="28"/>
          <w:szCs w:val="28"/>
        </w:rPr>
        <w:t xml:space="preserve"> – Do not destroy - </w:t>
      </w:r>
      <w:r w:rsidRPr="00CC1BBC">
        <w:rPr>
          <w:rFonts w:ascii="Arial" w:hAnsi="Arial" w:cs="Arial"/>
          <w:bCs/>
          <w:i/>
          <w:color w:val="365F91" w:themeColor="accent1" w:themeShade="BF"/>
          <w:sz w:val="28"/>
          <w:szCs w:val="28"/>
        </w:rPr>
        <w:t>Permanent</w:t>
      </w:r>
      <w:r w:rsidRPr="00CC1BBC">
        <w:rPr>
          <w:rFonts w:ascii="Arial" w:hAnsi="Arial" w:cs="Arial"/>
          <w:b/>
          <w:bCs/>
          <w:i/>
          <w:color w:val="365F91" w:themeColor="accent1" w:themeShade="BF"/>
          <w:sz w:val="28"/>
          <w:szCs w:val="28"/>
        </w:rPr>
        <w:t xml:space="preserve">. </w:t>
      </w:r>
      <w:r w:rsidRPr="00CC1BBC">
        <w:rPr>
          <w:rFonts w:ascii="Arial" w:hAnsi="Arial" w:cs="Arial"/>
          <w:i/>
          <w:color w:val="365F91" w:themeColor="accent1" w:themeShade="BF"/>
          <w:sz w:val="28"/>
          <w:szCs w:val="28"/>
        </w:rPr>
        <w:t>Transfer to place of deposit</w:t>
      </w:r>
      <w:r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after administrati</w:t>
      </w:r>
      <w:r w:rsidRPr="00CC1BBC">
        <w:rPr>
          <w:rFonts w:ascii="Arial" w:hAnsi="Arial" w:cs="Arial"/>
          <w:i/>
          <w:color w:val="365F91" w:themeColor="accent1" w:themeShade="BF"/>
          <w:sz w:val="28"/>
          <w:szCs w:val="28"/>
        </w:rPr>
        <w:t>on use is concluded</w:t>
      </w:r>
    </w:p>
    <w:p w:rsidR="00CC1BBC" w:rsidRPr="00CC1BBC" w:rsidRDefault="00CC1BBC" w:rsidP="00CC1BBC">
      <w:pPr>
        <w:autoSpaceDE w:val="0"/>
        <w:autoSpaceDN w:val="0"/>
        <w:adjustRightInd w:val="0"/>
        <w:spacing w:after="0" w:line="240" w:lineRule="auto"/>
        <w:ind w:left="709"/>
        <w:rPr>
          <w:rFonts w:ascii="Arial" w:hAnsi="Arial" w:cs="Arial"/>
          <w:i/>
          <w:color w:val="365F91" w:themeColor="accent1" w:themeShade="BF"/>
          <w:sz w:val="28"/>
          <w:szCs w:val="28"/>
        </w:rPr>
      </w:pPr>
    </w:p>
    <w:p w:rsidR="003D1B12" w:rsidRPr="00CC1BBC" w:rsidRDefault="003D1B12" w:rsidP="00CC1BBC">
      <w:pPr>
        <w:autoSpaceDE w:val="0"/>
        <w:autoSpaceDN w:val="0"/>
        <w:adjustRightInd w:val="0"/>
        <w:spacing w:after="0" w:line="240" w:lineRule="auto"/>
        <w:ind w:left="709"/>
        <w:rPr>
          <w:rFonts w:ascii="Arial" w:hAnsi="Arial" w:cs="Arial"/>
          <w:i/>
          <w:color w:val="365F91" w:themeColor="accent1" w:themeShade="BF"/>
          <w:sz w:val="28"/>
          <w:szCs w:val="28"/>
        </w:rPr>
      </w:pPr>
      <w:r w:rsidRPr="00CC1BBC">
        <w:rPr>
          <w:rFonts w:ascii="Arial" w:hAnsi="Arial" w:cs="Arial"/>
          <w:i/>
          <w:color w:val="365F91" w:themeColor="accent1" w:themeShade="BF"/>
          <w:sz w:val="28"/>
          <w:szCs w:val="28"/>
        </w:rPr>
        <w:t>Activities that report on all</w:t>
      </w:r>
      <w:r w:rsidR="00CC1BBC" w:rsidRPr="00CC1BBC">
        <w:rPr>
          <w:rFonts w:ascii="Arial" w:hAnsi="Arial" w:cs="Arial"/>
          <w:i/>
          <w:color w:val="365F91" w:themeColor="accent1" w:themeShade="BF"/>
          <w:sz w:val="28"/>
          <w:szCs w:val="28"/>
        </w:rPr>
        <w:t xml:space="preserve"> </w:t>
      </w:r>
      <w:r w:rsidRPr="00CC1BBC">
        <w:rPr>
          <w:rFonts w:ascii="Arial" w:hAnsi="Arial" w:cs="Arial"/>
          <w:i/>
          <w:color w:val="365F91" w:themeColor="accent1" w:themeShade="BF"/>
          <w:sz w:val="28"/>
          <w:szCs w:val="28"/>
        </w:rPr>
        <w:t>minor incidents in the local</w:t>
      </w:r>
      <w:r w:rsidR="00CC1BBC" w:rsidRPr="00CC1BBC">
        <w:rPr>
          <w:rFonts w:ascii="Arial" w:hAnsi="Arial" w:cs="Arial"/>
          <w:i/>
          <w:color w:val="365F91" w:themeColor="accent1" w:themeShade="BF"/>
          <w:sz w:val="28"/>
          <w:szCs w:val="28"/>
        </w:rPr>
        <w:t xml:space="preserve"> C</w:t>
      </w:r>
      <w:r w:rsidRPr="00CC1BBC">
        <w:rPr>
          <w:rFonts w:ascii="Arial" w:hAnsi="Arial" w:cs="Arial"/>
          <w:i/>
          <w:color w:val="365F91" w:themeColor="accent1" w:themeShade="BF"/>
          <w:sz w:val="28"/>
          <w:szCs w:val="28"/>
        </w:rPr>
        <w:t>ommunity</w:t>
      </w:r>
      <w:r w:rsidR="00CC1BBC" w:rsidRPr="00CC1BBC">
        <w:rPr>
          <w:rFonts w:ascii="Arial" w:hAnsi="Arial" w:cs="Arial"/>
          <w:i/>
          <w:color w:val="365F91" w:themeColor="accent1" w:themeShade="BF"/>
          <w:sz w:val="28"/>
          <w:szCs w:val="28"/>
        </w:rPr>
        <w:t xml:space="preserve"> - </w:t>
      </w:r>
      <w:r w:rsidRPr="00CC1BBC">
        <w:rPr>
          <w:rFonts w:ascii="Arial" w:hAnsi="Arial" w:cs="Arial"/>
          <w:i/>
          <w:color w:val="365F91" w:themeColor="accent1" w:themeShade="BF"/>
          <w:sz w:val="28"/>
          <w:szCs w:val="28"/>
        </w:rPr>
        <w:t xml:space="preserve">Destroy </w:t>
      </w:r>
      <w:r w:rsidRPr="00CC1BBC">
        <w:rPr>
          <w:rFonts w:ascii="Arial" w:hAnsi="Arial" w:cs="Arial"/>
          <w:b/>
          <w:bCs/>
          <w:i/>
          <w:color w:val="365F91" w:themeColor="accent1" w:themeShade="BF"/>
          <w:sz w:val="28"/>
          <w:szCs w:val="28"/>
        </w:rPr>
        <w:t xml:space="preserve">7 </w:t>
      </w:r>
      <w:r w:rsidR="00CC1BBC" w:rsidRPr="00CC1BBC">
        <w:rPr>
          <w:rFonts w:ascii="Arial" w:hAnsi="Arial" w:cs="Arial"/>
          <w:i/>
          <w:color w:val="365F91" w:themeColor="accent1" w:themeShade="BF"/>
          <w:sz w:val="28"/>
          <w:szCs w:val="28"/>
        </w:rPr>
        <w:t xml:space="preserve">years after </w:t>
      </w:r>
      <w:r w:rsidRPr="00CC1BBC">
        <w:rPr>
          <w:rFonts w:ascii="Arial" w:hAnsi="Arial" w:cs="Arial"/>
          <w:i/>
          <w:color w:val="365F91" w:themeColor="accent1" w:themeShade="BF"/>
          <w:sz w:val="28"/>
          <w:szCs w:val="28"/>
        </w:rPr>
        <w:t>closure</w:t>
      </w:r>
    </w:p>
    <w:p w:rsidR="003D1B12" w:rsidRDefault="00480759" w:rsidP="00044551">
      <w:pPr>
        <w:ind w:left="709" w:hanging="709"/>
        <w:rPr>
          <w:rFonts w:ascii="Arial" w:hAnsi="Arial" w:cs="Arial"/>
          <w:i/>
          <w:sz w:val="28"/>
          <w:szCs w:val="28"/>
        </w:rPr>
      </w:pPr>
      <w:r>
        <w:rPr>
          <w:rFonts w:ascii="Arial" w:hAnsi="Arial" w:cs="Arial"/>
          <w:sz w:val="28"/>
          <w:szCs w:val="28"/>
        </w:rPr>
        <w:tab/>
      </w:r>
    </w:p>
    <w:p w:rsidR="00F90BE9" w:rsidRDefault="00F90BE9" w:rsidP="00044551">
      <w:pPr>
        <w:ind w:left="709" w:hanging="709"/>
        <w:rPr>
          <w:rFonts w:ascii="Arial" w:hAnsi="Arial" w:cs="Arial"/>
          <w:sz w:val="28"/>
          <w:szCs w:val="28"/>
        </w:rPr>
      </w:pPr>
      <w:bookmarkStart w:id="0" w:name="_GoBack"/>
      <w:bookmarkEnd w:id="0"/>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w:t>
      </w:r>
      <w:r>
        <w:rPr>
          <w:rFonts w:ascii="Arial" w:hAnsi="Arial" w:cs="Arial"/>
          <w:sz w:val="28"/>
          <w:szCs w:val="28"/>
        </w:rPr>
        <w:lastRenderedPageBreak/>
        <w:t xml:space="preserve">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lastRenderedPageBreak/>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127F5E"/>
    <w:rsid w:val="00156958"/>
    <w:rsid w:val="003D1B12"/>
    <w:rsid w:val="00425F9A"/>
    <w:rsid w:val="00451527"/>
    <w:rsid w:val="00465BC0"/>
    <w:rsid w:val="00480759"/>
    <w:rsid w:val="004B4573"/>
    <w:rsid w:val="00537ACA"/>
    <w:rsid w:val="00807376"/>
    <w:rsid w:val="00822527"/>
    <w:rsid w:val="00930F20"/>
    <w:rsid w:val="00A65BA5"/>
    <w:rsid w:val="00B13D12"/>
    <w:rsid w:val="00BB4D72"/>
    <w:rsid w:val="00C1636A"/>
    <w:rsid w:val="00CC1BBC"/>
    <w:rsid w:val="00E207C8"/>
    <w:rsid w:val="00EA4469"/>
    <w:rsid w:val="00F04561"/>
    <w:rsid w:val="00F06F19"/>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8BF4A-5358-435E-A9BC-5B167075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1289-FF95-4F41-95C8-91662AA1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Carrie Davies</cp:lastModifiedBy>
  <cp:revision>2</cp:revision>
  <cp:lastPrinted>2018-05-29T15:06:00Z</cp:lastPrinted>
  <dcterms:created xsi:type="dcterms:W3CDTF">2018-06-05T10:16:00Z</dcterms:created>
  <dcterms:modified xsi:type="dcterms:W3CDTF">2018-06-05T10:16:00Z</dcterms:modified>
</cp:coreProperties>
</file>