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66A4" w14:textId="2A9202B1" w:rsidR="007404A0" w:rsidRDefault="007404A0" w:rsidP="007404A0">
      <w:pPr>
        <w:rPr>
          <w:b/>
          <w:bCs/>
        </w:rPr>
      </w:pPr>
      <w:r w:rsidRPr="007404A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4DF93C" wp14:editId="54379383">
                <wp:simplePos x="0" y="0"/>
                <wp:positionH relativeFrom="column">
                  <wp:posOffset>3794760</wp:posOffset>
                </wp:positionH>
                <wp:positionV relativeFrom="paragraph">
                  <wp:posOffset>205105</wp:posOffset>
                </wp:positionV>
                <wp:extent cx="1813560" cy="1382395"/>
                <wp:effectExtent l="0" t="0" r="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80533" w14:textId="7CD8C495" w:rsidR="007404A0" w:rsidRDefault="007404A0">
                            <w:r w:rsidRPr="007404A0">
                              <w:rPr>
                                <w:noProof/>
                              </w:rPr>
                              <w:drawing>
                                <wp:inline distT="0" distB="0" distL="0" distR="0" wp14:anchorId="7FE193A3" wp14:editId="469A5E2D">
                                  <wp:extent cx="1531620" cy="1249680"/>
                                  <wp:effectExtent l="0" t="0" r="0" b="7620"/>
                                  <wp:docPr id="167205163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1620" cy="124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DF9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8pt;margin-top:16.15pt;width:142.8pt;height:10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" stroked="f">
                <v:textbox>
                  <w:txbxContent>
                    <w:p w14:paraId="4C080533" w14:textId="7CD8C495" w:rsidR="007404A0" w:rsidRDefault="007404A0">
                      <w:r w:rsidRPr="007404A0">
                        <w:rPr>
                          <w:noProof/>
                        </w:rPr>
                        <w:drawing>
                          <wp:inline distT="0" distB="0" distL="0" distR="0" wp14:anchorId="7FE193A3" wp14:editId="469A5E2D">
                            <wp:extent cx="1531620" cy="1249680"/>
                            <wp:effectExtent l="0" t="0" r="0" b="7620"/>
                            <wp:docPr id="167205163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1620" cy="124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0175A56A" wp14:editId="400D01EA">
            <wp:extent cx="1981200" cy="1390015"/>
            <wp:effectExtent l="0" t="0" r="0" b="635"/>
            <wp:docPr id="1330790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6E3DA" w14:textId="232DC8A1" w:rsidR="007404A0" w:rsidRDefault="007404A0" w:rsidP="00C33268">
      <w:pPr>
        <w:rPr>
          <w:b/>
          <w:bCs/>
        </w:rPr>
      </w:pPr>
    </w:p>
    <w:p w14:paraId="4E1221F0" w14:textId="04C23C5A" w:rsidR="007404A0" w:rsidRDefault="007404A0" w:rsidP="00C33268">
      <w:pPr>
        <w:rPr>
          <w:b/>
          <w:bCs/>
        </w:rPr>
      </w:pPr>
    </w:p>
    <w:p w14:paraId="14351A1A" w14:textId="77777777" w:rsidR="007404A0" w:rsidRDefault="007404A0" w:rsidP="00C33268">
      <w:pPr>
        <w:rPr>
          <w:b/>
          <w:bCs/>
        </w:rPr>
      </w:pPr>
    </w:p>
    <w:p w14:paraId="600F415E" w14:textId="77777777" w:rsidR="007404A0" w:rsidRDefault="007404A0" w:rsidP="00C33268">
      <w:pPr>
        <w:rPr>
          <w:b/>
          <w:bCs/>
        </w:rPr>
      </w:pPr>
    </w:p>
    <w:p w14:paraId="0D8F804F" w14:textId="77777777" w:rsidR="007404A0" w:rsidRPr="003D547B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36"/>
          <w:szCs w:val="36"/>
        </w:rPr>
      </w:pPr>
      <w:r w:rsidRPr="003D547B">
        <w:rPr>
          <w:rFonts w:ascii="Arial" w:hAnsi="Arial" w:cs="Arial"/>
          <w:b/>
          <w:color w:val="0F4761" w:themeColor="accent1" w:themeShade="BF"/>
          <w:sz w:val="36"/>
          <w:szCs w:val="36"/>
        </w:rPr>
        <w:t xml:space="preserve">TATA STEEL UK TRANSITION </w:t>
      </w:r>
    </w:p>
    <w:p w14:paraId="553A21ED" w14:textId="77777777" w:rsidR="007404A0" w:rsidRPr="003D547B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36"/>
          <w:szCs w:val="36"/>
        </w:rPr>
      </w:pPr>
      <w:r>
        <w:rPr>
          <w:rFonts w:ascii="Arial" w:hAnsi="Arial" w:cs="Arial"/>
          <w:b/>
          <w:color w:val="0F4761" w:themeColor="accent1" w:themeShade="BF"/>
          <w:sz w:val="36"/>
          <w:szCs w:val="36"/>
        </w:rPr>
        <w:t>ECONOMIC</w:t>
      </w:r>
      <w:r w:rsidRPr="003D547B">
        <w:rPr>
          <w:rFonts w:ascii="Arial" w:hAnsi="Arial" w:cs="Arial"/>
          <w:b/>
          <w:color w:val="0F4761" w:themeColor="accent1" w:themeShade="BF"/>
          <w:sz w:val="36"/>
          <w:szCs w:val="36"/>
        </w:rPr>
        <w:t xml:space="preserve"> GROWTH </w:t>
      </w:r>
      <w:r>
        <w:rPr>
          <w:rFonts w:ascii="Arial" w:hAnsi="Arial" w:cs="Arial"/>
          <w:b/>
          <w:color w:val="0F4761" w:themeColor="accent1" w:themeShade="BF"/>
          <w:sz w:val="36"/>
          <w:szCs w:val="36"/>
        </w:rPr>
        <w:t xml:space="preserve">&amp; INVESTMENT </w:t>
      </w:r>
      <w:r w:rsidRPr="003D547B">
        <w:rPr>
          <w:rFonts w:ascii="Arial" w:hAnsi="Arial" w:cs="Arial"/>
          <w:b/>
          <w:color w:val="0F4761" w:themeColor="accent1" w:themeShade="BF"/>
          <w:sz w:val="36"/>
          <w:szCs w:val="36"/>
        </w:rPr>
        <w:t xml:space="preserve">FUND </w:t>
      </w:r>
    </w:p>
    <w:p w14:paraId="32346906" w14:textId="77777777" w:rsidR="007404A0" w:rsidRPr="003D547B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36"/>
          <w:szCs w:val="36"/>
        </w:rPr>
      </w:pPr>
    </w:p>
    <w:p w14:paraId="1FADE28C" w14:textId="0EC50AF3" w:rsidR="007404A0" w:rsidRPr="003D547B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36"/>
          <w:szCs w:val="36"/>
        </w:rPr>
      </w:pPr>
      <w:r>
        <w:rPr>
          <w:rFonts w:ascii="Arial" w:hAnsi="Arial" w:cs="Arial"/>
          <w:b/>
          <w:color w:val="0F4761" w:themeColor="accent1" w:themeShade="BF"/>
          <w:sz w:val="36"/>
          <w:szCs w:val="36"/>
        </w:rPr>
        <w:t xml:space="preserve">SCORING </w:t>
      </w:r>
      <w:r w:rsidR="0081428C">
        <w:rPr>
          <w:rFonts w:ascii="Arial" w:hAnsi="Arial" w:cs="Arial"/>
          <w:b/>
          <w:color w:val="0F4761" w:themeColor="accent1" w:themeShade="BF"/>
          <w:sz w:val="36"/>
          <w:szCs w:val="36"/>
        </w:rPr>
        <w:t xml:space="preserve">GUIDANCE &amp; </w:t>
      </w:r>
      <w:r>
        <w:rPr>
          <w:rFonts w:ascii="Arial" w:hAnsi="Arial" w:cs="Arial"/>
          <w:b/>
          <w:color w:val="0F4761" w:themeColor="accent1" w:themeShade="BF"/>
          <w:sz w:val="36"/>
          <w:szCs w:val="36"/>
        </w:rPr>
        <w:t>CRITERIA</w:t>
      </w:r>
    </w:p>
    <w:p w14:paraId="6CD8E6C1" w14:textId="77777777" w:rsidR="007404A0" w:rsidRPr="003D547B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28"/>
          <w:szCs w:val="28"/>
        </w:rPr>
      </w:pPr>
    </w:p>
    <w:p w14:paraId="58196868" w14:textId="77777777" w:rsidR="007404A0" w:rsidRPr="003D547B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color w:val="0F4761" w:themeColor="accent1" w:themeShade="BF"/>
          <w:sz w:val="28"/>
          <w:szCs w:val="28"/>
        </w:rPr>
      </w:pPr>
    </w:p>
    <w:p w14:paraId="61C74601" w14:textId="77777777" w:rsidR="007404A0" w:rsidRDefault="007404A0" w:rsidP="007404A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Administered and delivered </w:t>
      </w:r>
      <w:r w:rsidRPr="00872DC5">
        <w:rPr>
          <w:rFonts w:ascii="Arial" w:hAnsi="Arial" w:cs="Arial"/>
          <w:b/>
          <w:sz w:val="28"/>
          <w:szCs w:val="28"/>
        </w:rPr>
        <w:t xml:space="preserve">by Neath Port Talbot Council </w:t>
      </w:r>
      <w:r>
        <w:rPr>
          <w:rFonts w:ascii="Arial" w:hAnsi="Arial" w:cs="Arial"/>
          <w:b/>
          <w:sz w:val="28"/>
          <w:szCs w:val="28"/>
        </w:rPr>
        <w:t>(NPTC) on behalf of UK Government (</w:t>
      </w:r>
      <w:r w:rsidRPr="000F50DC">
        <w:rPr>
          <w:rFonts w:ascii="Arial" w:hAnsi="Arial" w:cs="Arial"/>
          <w:b/>
          <w:sz w:val="28"/>
          <w:szCs w:val="28"/>
        </w:rPr>
        <w:t>UKG</w:t>
      </w:r>
      <w:r>
        <w:rPr>
          <w:rFonts w:ascii="Arial" w:hAnsi="Arial" w:cs="Arial"/>
          <w:b/>
          <w:sz w:val="28"/>
          <w:szCs w:val="28"/>
        </w:rPr>
        <w:t>) Tata Steel UK (</w:t>
      </w:r>
      <w:r w:rsidRPr="000F50DC">
        <w:rPr>
          <w:rFonts w:ascii="Arial" w:hAnsi="Arial" w:cs="Arial"/>
          <w:b/>
          <w:sz w:val="28"/>
          <w:szCs w:val="28"/>
        </w:rPr>
        <w:t>TSUK</w:t>
      </w:r>
      <w:r>
        <w:rPr>
          <w:rFonts w:ascii="Arial" w:hAnsi="Arial" w:cs="Arial"/>
          <w:b/>
          <w:sz w:val="28"/>
          <w:szCs w:val="28"/>
        </w:rPr>
        <w:t>)</w:t>
      </w:r>
    </w:p>
    <w:p w14:paraId="34D5879B" w14:textId="77777777" w:rsidR="007404A0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EC006B8" w14:textId="77777777" w:rsidR="007404A0" w:rsidRPr="004D0313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</w:p>
    <w:p w14:paraId="27CEB0A3" w14:textId="77777777" w:rsidR="007404A0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5B375B" w14:textId="77777777" w:rsidR="007404A0" w:rsidRDefault="007404A0" w:rsidP="007404A0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67653E" w14:textId="77777777" w:rsidR="007404A0" w:rsidRPr="004D0313" w:rsidRDefault="007404A0" w:rsidP="007404A0">
      <w:pPr>
        <w:jc w:val="center"/>
        <w:textAlignment w:val="baseline"/>
        <w:rPr>
          <w:rFonts w:ascii="Arial" w:eastAsia="Times New Roman" w:hAnsi="Arial" w:cs="Arial"/>
          <w:b/>
          <w:sz w:val="16"/>
          <w:szCs w:val="18"/>
          <w:lang w:eastAsia="en-GB"/>
        </w:rPr>
      </w:pPr>
      <w:r w:rsidRPr="004D0313">
        <w:rPr>
          <w:rFonts w:ascii="Arial" w:eastAsia="Times New Roman" w:hAnsi="Arial" w:cs="Arial"/>
          <w:b/>
          <w:szCs w:val="28"/>
          <w:lang w:eastAsia="en-GB"/>
        </w:rPr>
        <w:t xml:space="preserve">This project is funded by </w:t>
      </w:r>
      <w:r>
        <w:rPr>
          <w:rFonts w:ascii="Arial" w:eastAsia="Times New Roman" w:hAnsi="Arial" w:cs="Arial"/>
          <w:b/>
          <w:szCs w:val="28"/>
          <w:lang w:eastAsia="en-GB"/>
        </w:rPr>
        <w:t xml:space="preserve">UKG and </w:t>
      </w:r>
      <w:r w:rsidRPr="00872DC5">
        <w:rPr>
          <w:rFonts w:ascii="Arial" w:eastAsia="Times New Roman" w:hAnsi="Arial" w:cs="Arial"/>
          <w:b/>
          <w:szCs w:val="28"/>
          <w:lang w:eastAsia="en-GB"/>
        </w:rPr>
        <w:t xml:space="preserve">TSUK </w:t>
      </w:r>
    </w:p>
    <w:p w14:paraId="7EA3C46D" w14:textId="77777777" w:rsidR="007404A0" w:rsidRDefault="007404A0" w:rsidP="007404A0">
      <w:pPr>
        <w:ind w:left="28"/>
        <w:rPr>
          <w:rFonts w:ascii="Arial" w:hAnsi="Arial"/>
          <w:b/>
          <w:bCs/>
        </w:rPr>
      </w:pPr>
    </w:p>
    <w:p w14:paraId="6BB37FAF" w14:textId="77777777" w:rsidR="007404A0" w:rsidRDefault="007404A0" w:rsidP="007404A0">
      <w:pPr>
        <w:ind w:left="28"/>
        <w:rPr>
          <w:rFonts w:ascii="Arial" w:hAnsi="Arial"/>
          <w:b/>
          <w:bCs/>
        </w:rPr>
      </w:pPr>
    </w:p>
    <w:p w14:paraId="0993A6C5" w14:textId="22F0182C" w:rsidR="007404A0" w:rsidRDefault="007404A0" w:rsidP="00C33268">
      <w:pPr>
        <w:rPr>
          <w:b/>
          <w:bCs/>
        </w:rPr>
      </w:pPr>
    </w:p>
    <w:p w14:paraId="1D484ED4" w14:textId="77777777" w:rsidR="007404A0" w:rsidRDefault="007404A0" w:rsidP="00C33268">
      <w:pPr>
        <w:rPr>
          <w:b/>
          <w:bCs/>
        </w:rPr>
      </w:pPr>
    </w:p>
    <w:p w14:paraId="43C96B23" w14:textId="65C204F9" w:rsidR="007404A0" w:rsidRDefault="007404A0" w:rsidP="007404A0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D126D0A" wp14:editId="34F2E82E">
            <wp:extent cx="1718945" cy="1371600"/>
            <wp:effectExtent l="0" t="0" r="0" b="0"/>
            <wp:docPr id="10264504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28C03" w14:textId="30508DAD" w:rsidR="00313989" w:rsidRDefault="00313989" w:rsidP="00C33268">
      <w:pPr>
        <w:rPr>
          <w:b/>
          <w:bCs/>
        </w:rPr>
      </w:pPr>
      <w:r>
        <w:rPr>
          <w:b/>
          <w:bCs/>
        </w:rPr>
        <w:lastRenderedPageBreak/>
        <w:t>Introduction</w:t>
      </w:r>
    </w:p>
    <w:p w14:paraId="6C8B3300" w14:textId="46245C66" w:rsidR="0046445B" w:rsidRDefault="0046445B" w:rsidP="00B807DD">
      <w:r>
        <w:t xml:space="preserve">The following scoring </w:t>
      </w:r>
      <w:r w:rsidR="00B807DD">
        <w:t>criteria</w:t>
      </w:r>
      <w:r>
        <w:t xml:space="preserve">, that focuses on </w:t>
      </w:r>
      <w:r w:rsidR="00B807DD">
        <w:t>maximizing public value, economic growth and deliverability</w:t>
      </w:r>
      <w:r>
        <w:t xml:space="preserve"> will be used to evaluate</w:t>
      </w:r>
      <w:r w:rsidR="00462A95">
        <w:t xml:space="preserve">, score and rank </w:t>
      </w:r>
      <w:r w:rsidR="00F7238C" w:rsidRPr="00F7238C">
        <w:t>Applications f</w:t>
      </w:r>
      <w:r w:rsidR="00F7238C">
        <w:t>or</w:t>
      </w:r>
      <w:r w:rsidR="00462A95">
        <w:t xml:space="preserve"> funding</w:t>
      </w:r>
      <w:r w:rsidR="00371CB7">
        <w:t xml:space="preserve"> from the Tata Economic Growth &amp; Investment Fund</w:t>
      </w:r>
      <w:r>
        <w:t xml:space="preserve">. </w:t>
      </w:r>
    </w:p>
    <w:p w14:paraId="5243E844" w14:textId="24CEAE6D" w:rsidR="00313989" w:rsidRDefault="00313989" w:rsidP="00B807DD">
      <w:pPr>
        <w:rPr>
          <w:b/>
          <w:bCs/>
        </w:rPr>
      </w:pPr>
      <w:r w:rsidRPr="00313989">
        <w:rPr>
          <w:b/>
          <w:bCs/>
        </w:rPr>
        <w:t>Process</w:t>
      </w:r>
    </w:p>
    <w:p w14:paraId="761023D5" w14:textId="2BAABAB6" w:rsidR="00313989" w:rsidRPr="00313989" w:rsidRDefault="00313989" w:rsidP="00B807DD">
      <w:r w:rsidRPr="00313989">
        <w:t>All</w:t>
      </w:r>
      <w:r w:rsidR="0078191E">
        <w:t xml:space="preserve"> </w:t>
      </w:r>
      <w:r w:rsidR="0078191E" w:rsidRPr="00F7238C">
        <w:t>Applications</w:t>
      </w:r>
      <w:r w:rsidRPr="00313989">
        <w:t xml:space="preserve"> received will be reviewed (as per the criteria outlined below), scored and ranked in order of % scored.</w:t>
      </w:r>
    </w:p>
    <w:p w14:paraId="30C336DA" w14:textId="33A4E533" w:rsidR="00371CB7" w:rsidRPr="00F7238C" w:rsidRDefault="006D6D30" w:rsidP="006D6D30">
      <w:r w:rsidRPr="00371CB7">
        <w:rPr>
          <w:b/>
          <w:bCs/>
        </w:rPr>
        <w:t>Minimum Threshold</w:t>
      </w:r>
      <w:r>
        <w:t xml:space="preserve">: </w:t>
      </w:r>
      <w:r w:rsidR="0078191E" w:rsidRPr="00F7238C">
        <w:t>Application</w:t>
      </w:r>
      <w:r w:rsidRPr="00F7238C">
        <w:t xml:space="preserve">s must achieve a minimum overall score of at least 60% to </w:t>
      </w:r>
      <w:r w:rsidR="00347FE3" w:rsidRPr="00F7238C">
        <w:t xml:space="preserve">progress to </w:t>
      </w:r>
      <w:r w:rsidR="0078191E" w:rsidRPr="00F7238C">
        <w:t>the next</w:t>
      </w:r>
      <w:r w:rsidRPr="00F7238C">
        <w:t xml:space="preserve"> stage</w:t>
      </w:r>
      <w:r w:rsidR="00347FE3" w:rsidRPr="00F7238C">
        <w:t xml:space="preserve">. </w:t>
      </w:r>
      <w:r w:rsidR="00313989" w:rsidRPr="00F7238C">
        <w:t xml:space="preserve">However, as this Fund will operate via an Open Call and there is a “Total Fund Value” that cannot be exceeded, there is no guarantee that </w:t>
      </w:r>
      <w:r w:rsidR="0078191E" w:rsidRPr="00F7238C">
        <w:t>Applications</w:t>
      </w:r>
      <w:r w:rsidR="00313989" w:rsidRPr="00F7238C">
        <w:t xml:space="preserve"> that score more than 60%, will be shortlisted to proceed to full application.</w:t>
      </w:r>
    </w:p>
    <w:p w14:paraId="75D588E8" w14:textId="1E3FD80D" w:rsidR="00313989" w:rsidRPr="00F7238C" w:rsidRDefault="00313989" w:rsidP="006D6D30">
      <w:r w:rsidRPr="00F7238C">
        <w:t xml:space="preserve">In addition, </w:t>
      </w:r>
      <w:r w:rsidR="0078191E" w:rsidRPr="00F7238C">
        <w:t>Applications</w:t>
      </w:r>
      <w:r w:rsidRPr="00F7238C">
        <w:t xml:space="preserve"> that score zero on any of the 5 key areas listed below, will be declined. </w:t>
      </w:r>
    </w:p>
    <w:p w14:paraId="2DEBC6A0" w14:textId="3097684D" w:rsidR="0091142A" w:rsidRPr="00F7238C" w:rsidRDefault="00313989" w:rsidP="00B807DD">
      <w:r w:rsidRPr="00F7238C">
        <w:t xml:space="preserve">Shortlisted </w:t>
      </w:r>
      <w:r w:rsidR="0078191E" w:rsidRPr="00F7238C">
        <w:t>Applications</w:t>
      </w:r>
      <w:r w:rsidRPr="00F7238C">
        <w:t xml:space="preserve"> will </w:t>
      </w:r>
      <w:r w:rsidR="0091142A" w:rsidRPr="00F7238C">
        <w:t xml:space="preserve">proceed to </w:t>
      </w:r>
      <w:r w:rsidR="0078191E" w:rsidRPr="00F7238C">
        <w:t>the next stage</w:t>
      </w:r>
      <w:r w:rsidR="0091142A" w:rsidRPr="00F7238C">
        <w:t xml:space="preserve">, </w:t>
      </w:r>
      <w:r w:rsidRPr="00F7238C">
        <w:t xml:space="preserve"> where </w:t>
      </w:r>
      <w:r w:rsidR="0091142A" w:rsidRPr="00F7238C">
        <w:t>further due diligence checks, i.e. f</w:t>
      </w:r>
      <w:r w:rsidR="006D6D30" w:rsidRPr="00F7238C">
        <w:t>inancial</w:t>
      </w:r>
      <w:r w:rsidR="0091142A" w:rsidRPr="00F7238C">
        <w:t xml:space="preserve">; </w:t>
      </w:r>
      <w:r w:rsidR="006D6D30" w:rsidRPr="00F7238C">
        <w:t>legal status</w:t>
      </w:r>
      <w:r w:rsidR="0091142A" w:rsidRPr="00F7238C">
        <w:t>, capa</w:t>
      </w:r>
      <w:r w:rsidR="006D6D30" w:rsidRPr="00F7238C">
        <w:t xml:space="preserve">city </w:t>
      </w:r>
      <w:r w:rsidR="0091142A" w:rsidRPr="00F7238C">
        <w:t xml:space="preserve">to deliver, any necessary licensing or planning requirements, etc., will be undertaken. </w:t>
      </w:r>
    </w:p>
    <w:p w14:paraId="5C09B8F8" w14:textId="58C18B82" w:rsidR="00313989" w:rsidRPr="00F7238C" w:rsidRDefault="00313989" w:rsidP="00B807DD">
      <w:r w:rsidRPr="00F7238C">
        <w:t>Feedback will be given to any unsuccessful applicants.</w:t>
      </w:r>
    </w:p>
    <w:p w14:paraId="021F7FF4" w14:textId="6B33FE95" w:rsidR="0046445B" w:rsidRPr="0091142A" w:rsidRDefault="0091142A" w:rsidP="00B807DD">
      <w:pPr>
        <w:rPr>
          <w:i/>
          <w:iCs/>
        </w:rPr>
      </w:pPr>
      <w:r w:rsidRPr="00F7238C">
        <w:rPr>
          <w:b/>
          <w:bCs/>
        </w:rPr>
        <w:t>Please Note:</w:t>
      </w:r>
      <w:r w:rsidRPr="00F7238C">
        <w:t xml:space="preserve"> </w:t>
      </w:r>
      <w:r w:rsidR="0046445B" w:rsidRPr="00F7238C">
        <w:rPr>
          <w:i/>
          <w:iCs/>
        </w:rPr>
        <w:t xml:space="preserve">Before </w:t>
      </w:r>
      <w:r w:rsidR="00462A95" w:rsidRPr="00F7238C">
        <w:rPr>
          <w:i/>
          <w:iCs/>
        </w:rPr>
        <w:t xml:space="preserve">submitting </w:t>
      </w:r>
      <w:r w:rsidR="0046445B" w:rsidRPr="00F7238C">
        <w:rPr>
          <w:i/>
          <w:iCs/>
        </w:rPr>
        <w:t xml:space="preserve">an </w:t>
      </w:r>
      <w:proofErr w:type="gramStart"/>
      <w:r w:rsidR="0078191E" w:rsidRPr="00F7238C">
        <w:rPr>
          <w:i/>
          <w:iCs/>
        </w:rPr>
        <w:t>Application</w:t>
      </w:r>
      <w:proofErr w:type="gramEnd"/>
      <w:r w:rsidR="00462A95" w:rsidRPr="00F7238C">
        <w:rPr>
          <w:i/>
          <w:iCs/>
        </w:rPr>
        <w:t xml:space="preserve"> for f</w:t>
      </w:r>
      <w:r w:rsidR="0046445B" w:rsidRPr="00F7238C">
        <w:rPr>
          <w:i/>
          <w:iCs/>
        </w:rPr>
        <w:t>und</w:t>
      </w:r>
      <w:r w:rsidR="00462A95" w:rsidRPr="00F7238C">
        <w:rPr>
          <w:i/>
          <w:iCs/>
        </w:rPr>
        <w:t>ing</w:t>
      </w:r>
      <w:r w:rsidR="0046445B" w:rsidRPr="00F7238C">
        <w:rPr>
          <w:i/>
          <w:iCs/>
        </w:rPr>
        <w:t xml:space="preserve">, please read </w:t>
      </w:r>
      <w:r w:rsidR="00462A95" w:rsidRPr="00F7238C">
        <w:rPr>
          <w:i/>
          <w:iCs/>
        </w:rPr>
        <w:t>the Criteria and Guidance for Applicants for the Economic Growth &amp; Investment</w:t>
      </w:r>
      <w:r w:rsidR="00462A95" w:rsidRPr="0091142A">
        <w:rPr>
          <w:i/>
          <w:iCs/>
        </w:rPr>
        <w:t xml:space="preserve"> </w:t>
      </w:r>
      <w:r w:rsidR="0046445B" w:rsidRPr="0091142A">
        <w:rPr>
          <w:i/>
          <w:iCs/>
        </w:rPr>
        <w:t>Fund</w:t>
      </w:r>
      <w:r w:rsidR="00462A95" w:rsidRPr="0091142A">
        <w:rPr>
          <w:i/>
          <w:iCs/>
        </w:rPr>
        <w:t xml:space="preserve"> which will be provided alongside this document to all </w:t>
      </w:r>
      <w:r w:rsidR="00A660AC">
        <w:rPr>
          <w:i/>
          <w:iCs/>
        </w:rPr>
        <w:t>applicants</w:t>
      </w:r>
      <w:r w:rsidR="00462A95" w:rsidRPr="0091142A">
        <w:rPr>
          <w:i/>
          <w:iCs/>
        </w:rPr>
        <w:t xml:space="preserve">. </w:t>
      </w:r>
    </w:p>
    <w:p w14:paraId="15DDAA26" w14:textId="56ADD0F8" w:rsidR="00B807DD" w:rsidRDefault="00313989" w:rsidP="006D6D30">
      <w:pPr>
        <w:rPr>
          <w:b/>
          <w:bCs/>
        </w:rPr>
      </w:pPr>
      <w:r>
        <w:rPr>
          <w:b/>
          <w:bCs/>
        </w:rPr>
        <w:t xml:space="preserve">Scoring </w:t>
      </w:r>
      <w:r w:rsidR="00B807DD" w:rsidRPr="00043166">
        <w:rPr>
          <w:b/>
          <w:bCs/>
        </w:rPr>
        <w:t>Criteria (Total 100%)</w:t>
      </w:r>
    </w:p>
    <w:p w14:paraId="73D526FA" w14:textId="42BD93FF" w:rsidR="00B807DD" w:rsidRPr="00043166" w:rsidRDefault="00B807DD" w:rsidP="00B807DD">
      <w:pPr>
        <w:rPr>
          <w:b/>
          <w:bCs/>
        </w:rPr>
      </w:pPr>
      <w:r w:rsidRPr="00043166">
        <w:rPr>
          <w:b/>
          <w:bCs/>
        </w:rPr>
        <w:t xml:space="preserve">1. </w:t>
      </w:r>
      <w:r w:rsidR="00617798">
        <w:rPr>
          <w:b/>
          <w:bCs/>
        </w:rPr>
        <w:tab/>
      </w:r>
      <w:r w:rsidRPr="00043166">
        <w:rPr>
          <w:b/>
          <w:bCs/>
        </w:rPr>
        <w:t>Strategic Fit and Alignment (</w:t>
      </w:r>
      <w:r w:rsidR="00EC0493">
        <w:rPr>
          <w:b/>
          <w:bCs/>
        </w:rPr>
        <w:t>1</w:t>
      </w:r>
      <w:r w:rsidRPr="00043166">
        <w:rPr>
          <w:b/>
          <w:bCs/>
        </w:rPr>
        <w:t>5%)</w:t>
      </w:r>
    </w:p>
    <w:p w14:paraId="6B9EDE06" w14:textId="3C49B346" w:rsidR="00203BB5" w:rsidRDefault="00203BB5" w:rsidP="00203BB5">
      <w:pPr>
        <w:ind w:left="720" w:hanging="720"/>
      </w:pPr>
      <w:r>
        <w:t>-</w:t>
      </w:r>
      <w:r>
        <w:tab/>
        <w:t>Clear a</w:t>
      </w:r>
      <w:r w:rsidR="005B45B8">
        <w:t>lign</w:t>
      </w:r>
      <w:r>
        <w:t>ment</w:t>
      </w:r>
      <w:r w:rsidR="005B45B8">
        <w:t xml:space="preserve"> </w:t>
      </w:r>
      <w:r>
        <w:t xml:space="preserve">to one of the </w:t>
      </w:r>
      <w:r w:rsidR="00B807DD">
        <w:t>Objectives</w:t>
      </w:r>
      <w:r w:rsidR="0046445B">
        <w:t xml:space="preserve"> of the Fund</w:t>
      </w:r>
      <w:r>
        <w:t xml:space="preserve"> and potential impact within the targeted local authority areas. Projects that meet at least 80% of the objectives of the fund will score higher. </w:t>
      </w:r>
    </w:p>
    <w:p w14:paraId="5333BEF0" w14:textId="62BE8017" w:rsidR="00B807DD" w:rsidRDefault="00203BB5" w:rsidP="00203BB5">
      <w:pPr>
        <w:ind w:left="720" w:hanging="720"/>
      </w:pPr>
      <w:r>
        <w:t>-</w:t>
      </w:r>
      <w:r>
        <w:tab/>
        <w:t xml:space="preserve">Evidence of need of grant </w:t>
      </w:r>
      <w:r w:rsidR="00B807DD">
        <w:t>(additionality)</w:t>
      </w:r>
      <w:r w:rsidR="00617798">
        <w:t xml:space="preserve"> and clear explanation as to why </w:t>
      </w:r>
      <w:r w:rsidR="00617798" w:rsidRPr="00617798">
        <w:t>public funding is required</w:t>
      </w:r>
      <w:r w:rsidR="00617798">
        <w:t>.</w:t>
      </w:r>
    </w:p>
    <w:p w14:paraId="6311A19E" w14:textId="025BEB1F" w:rsidR="00043166" w:rsidRDefault="00203BB5" w:rsidP="00617798">
      <w:pPr>
        <w:ind w:left="720" w:hanging="720"/>
      </w:pPr>
      <w:r>
        <w:t>-</w:t>
      </w:r>
      <w:r>
        <w:tab/>
      </w:r>
      <w:r w:rsidR="00617798">
        <w:t xml:space="preserve">Projects MUST </w:t>
      </w:r>
      <w:r w:rsidR="00043166">
        <w:t>operate with</w:t>
      </w:r>
      <w:r w:rsidR="00617798">
        <w:t>in</w:t>
      </w:r>
      <w:r w:rsidR="00043166">
        <w:t xml:space="preserve"> the business sectors outlined in the </w:t>
      </w:r>
      <w:r w:rsidR="00617798">
        <w:t>Guidance</w:t>
      </w:r>
      <w:r w:rsidR="0091142A">
        <w:t xml:space="preserve"> Notes for this Fund</w:t>
      </w:r>
    </w:p>
    <w:p w14:paraId="0330CECA" w14:textId="790420D2" w:rsidR="00B807DD" w:rsidRPr="00043166" w:rsidRDefault="00B807DD" w:rsidP="00B807DD">
      <w:pPr>
        <w:rPr>
          <w:b/>
          <w:bCs/>
        </w:rPr>
      </w:pPr>
      <w:r w:rsidRPr="00043166">
        <w:rPr>
          <w:b/>
          <w:bCs/>
        </w:rPr>
        <w:t xml:space="preserve">2. </w:t>
      </w:r>
      <w:r w:rsidR="00617798">
        <w:rPr>
          <w:b/>
          <w:bCs/>
        </w:rPr>
        <w:tab/>
      </w:r>
      <w:r w:rsidRPr="00043166">
        <w:rPr>
          <w:b/>
          <w:bCs/>
        </w:rPr>
        <w:t>Economic Impact and Growth Potential (25%)</w:t>
      </w:r>
    </w:p>
    <w:p w14:paraId="689A51EB" w14:textId="49701654" w:rsidR="00E92A56" w:rsidRDefault="00617798" w:rsidP="00E92A56">
      <w:pPr>
        <w:ind w:left="720" w:hanging="720"/>
      </w:pPr>
      <w:r>
        <w:t>-</w:t>
      </w:r>
      <w:r>
        <w:tab/>
      </w:r>
      <w:r w:rsidR="00B807DD">
        <w:t xml:space="preserve">Job </w:t>
      </w:r>
      <w:bookmarkStart w:id="0" w:name="_Hlk221439854"/>
      <w:r w:rsidR="00B807DD">
        <w:t>Creation &amp; Retention</w:t>
      </w:r>
      <w:r>
        <w:t xml:space="preserve"> – details of any </w:t>
      </w:r>
      <w:r w:rsidR="00B807DD">
        <w:t xml:space="preserve">new </w:t>
      </w:r>
      <w:r>
        <w:t xml:space="preserve">or safeguarded </w:t>
      </w:r>
      <w:r w:rsidR="00B807DD">
        <w:t xml:space="preserve">jobs (e.g., Full-Time Equivalents </w:t>
      </w:r>
      <w:r>
        <w:t>–</w:t>
      </w:r>
      <w:r w:rsidR="00B807DD">
        <w:t xml:space="preserve"> FTEs</w:t>
      </w:r>
      <w:r>
        <w:t>; apprenticeships, etc</w:t>
      </w:r>
      <w:r w:rsidR="00B807DD">
        <w:t>)</w:t>
      </w:r>
      <w:r w:rsidR="00E92A56">
        <w:t xml:space="preserve"> must be included in the </w:t>
      </w:r>
      <w:r w:rsidR="0078191E" w:rsidRPr="00F7238C">
        <w:t>Application</w:t>
      </w:r>
      <w:r w:rsidR="00B807DD" w:rsidRPr="00F7238C">
        <w:t>.</w:t>
      </w:r>
      <w:r w:rsidR="00E92A56" w:rsidRPr="00E92A56">
        <w:t xml:space="preserve"> Projects </w:t>
      </w:r>
      <w:r w:rsidR="00E92A56">
        <w:t xml:space="preserve">creating and safeguarding </w:t>
      </w:r>
      <w:r w:rsidR="00E92A56" w:rsidRPr="00E92A56">
        <w:t>high-value, sustainable, or specialized roles rather than temporary or low-skilled jobs</w:t>
      </w:r>
      <w:r w:rsidR="00E92A56">
        <w:t xml:space="preserve"> will be favoured</w:t>
      </w:r>
      <w:r w:rsidR="00E92A56" w:rsidRPr="00E92A56">
        <w:t xml:space="preserve">. </w:t>
      </w:r>
    </w:p>
    <w:p w14:paraId="14E50C67" w14:textId="6EE26408" w:rsidR="00B807DD" w:rsidRDefault="00617798" w:rsidP="00617798">
      <w:pPr>
        <w:ind w:left="720" w:hanging="720"/>
      </w:pPr>
      <w:r>
        <w:lastRenderedPageBreak/>
        <w:t>-</w:t>
      </w:r>
      <w:r>
        <w:tab/>
        <w:t xml:space="preserve">Evidence that the project will help the company achieve </w:t>
      </w:r>
      <w:r w:rsidR="00B807DD">
        <w:t xml:space="preserve">significant growth (e.g., </w:t>
      </w:r>
      <w:r>
        <w:t xml:space="preserve">we would expect to see a year-on-year increase </w:t>
      </w:r>
      <w:r w:rsidR="0091142A">
        <w:t xml:space="preserve">in turnover </w:t>
      </w:r>
      <w:r>
        <w:t>over the next 5 years)</w:t>
      </w:r>
      <w:r w:rsidR="00B807DD">
        <w:t>.</w:t>
      </w:r>
    </w:p>
    <w:p w14:paraId="6E8EB40B" w14:textId="27593502" w:rsidR="00617798" w:rsidRDefault="00617798" w:rsidP="00617798">
      <w:pPr>
        <w:ind w:left="720" w:hanging="720"/>
      </w:pPr>
      <w:r>
        <w:t>-</w:t>
      </w:r>
      <w:r>
        <w:tab/>
      </w:r>
      <w:r w:rsidR="0091142A">
        <w:t xml:space="preserve">Projects that demonstrate Innovation, i.e. </w:t>
      </w:r>
      <w:r w:rsidR="006D6D30" w:rsidRPr="006D6D30">
        <w:t>introduc</w:t>
      </w:r>
      <w:r w:rsidR="0091142A">
        <w:t xml:space="preserve">tion of </w:t>
      </w:r>
      <w:r w:rsidR="006D6D30" w:rsidRPr="006D6D30">
        <w:t>new products, processes, or services to the market</w:t>
      </w:r>
      <w:r w:rsidR="0091142A">
        <w:t xml:space="preserve">, etc., </w:t>
      </w:r>
      <w:r w:rsidR="00E92A56">
        <w:t xml:space="preserve">and </w:t>
      </w:r>
      <w:r>
        <w:t>can evidence indirect economic benefits to the supply chain within their sector or other sectors will score higher.</w:t>
      </w:r>
    </w:p>
    <w:bookmarkEnd w:id="0"/>
    <w:p w14:paraId="38DA2E91" w14:textId="31252849" w:rsidR="00B807DD" w:rsidRPr="00043166" w:rsidRDefault="00B807DD" w:rsidP="00B807DD">
      <w:pPr>
        <w:rPr>
          <w:b/>
          <w:bCs/>
        </w:rPr>
      </w:pPr>
      <w:r w:rsidRPr="00043166">
        <w:rPr>
          <w:b/>
          <w:bCs/>
        </w:rPr>
        <w:t xml:space="preserve">3. </w:t>
      </w:r>
      <w:r w:rsidR="0051292F">
        <w:rPr>
          <w:b/>
          <w:bCs/>
        </w:rPr>
        <w:tab/>
      </w:r>
      <w:r w:rsidRPr="00043166">
        <w:rPr>
          <w:b/>
          <w:bCs/>
        </w:rPr>
        <w:t>Deliverability and Project Management (25%)</w:t>
      </w:r>
    </w:p>
    <w:p w14:paraId="25393ED4" w14:textId="6139CC24" w:rsidR="00B807DD" w:rsidRDefault="00E92A56" w:rsidP="0051292F">
      <w:pPr>
        <w:ind w:left="720" w:hanging="720"/>
      </w:pPr>
      <w:r>
        <w:t>-</w:t>
      </w:r>
      <w:r>
        <w:tab/>
      </w:r>
      <w:r w:rsidR="0078191E" w:rsidRPr="00F7238C">
        <w:t>Applications</w:t>
      </w:r>
      <w:r w:rsidR="0078191E">
        <w:t xml:space="preserve"> </w:t>
      </w:r>
      <w:r>
        <w:t xml:space="preserve">will be scored against </w:t>
      </w:r>
      <w:r w:rsidR="0051292F">
        <w:t xml:space="preserve">a </w:t>
      </w:r>
      <w:r w:rsidR="00B807DD">
        <w:t>realistic, SMART (Specific, Measurable, Achievable, Relevant, Time-bound) project plan with clear milestones</w:t>
      </w:r>
      <w:r w:rsidR="0051292F">
        <w:t xml:space="preserve"> including a clear strategy for transition and ongoing operation. </w:t>
      </w:r>
    </w:p>
    <w:p w14:paraId="202C0FCD" w14:textId="3EFBB43F" w:rsidR="00B807DD" w:rsidRDefault="0051292F" w:rsidP="0051292F">
      <w:pPr>
        <w:ind w:left="720" w:hanging="720"/>
      </w:pPr>
      <w:r>
        <w:t>-</w:t>
      </w:r>
      <w:r>
        <w:tab/>
        <w:t>Clear evidence that the management team have the necessary s</w:t>
      </w:r>
      <w:r w:rsidR="00B807DD">
        <w:t xml:space="preserve">kills, expertise, and capacity to deliver </w:t>
      </w:r>
      <w:r>
        <w:t>the project</w:t>
      </w:r>
      <w:r w:rsidR="00B807DD">
        <w:t>.</w:t>
      </w:r>
    </w:p>
    <w:p w14:paraId="5566FB92" w14:textId="019B4C66" w:rsidR="00B807DD" w:rsidRDefault="0051292F" w:rsidP="0051292F">
      <w:pPr>
        <w:ind w:left="720" w:hanging="720"/>
      </w:pPr>
      <w:r>
        <w:t>-</w:t>
      </w:r>
      <w:r>
        <w:tab/>
        <w:t xml:space="preserve">Any </w:t>
      </w:r>
      <w:r w:rsidR="00B807DD">
        <w:t xml:space="preserve">risks (financial, technical, legal) </w:t>
      </w:r>
      <w:r>
        <w:t>must be identified</w:t>
      </w:r>
      <w:r w:rsidR="00AD3FA6">
        <w:t>,</w:t>
      </w:r>
      <w:r>
        <w:t xml:space="preserve"> and </w:t>
      </w:r>
      <w:r w:rsidR="00B807DD">
        <w:t>robust mitigation strategies</w:t>
      </w:r>
      <w:r>
        <w:t xml:space="preserve"> should be in place</w:t>
      </w:r>
      <w:r w:rsidR="00B807DD">
        <w:t>.</w:t>
      </w:r>
    </w:p>
    <w:p w14:paraId="62F92842" w14:textId="3DF87B90" w:rsidR="00AD3FA6" w:rsidRDefault="0051292F" w:rsidP="00AD3FA6">
      <w:pPr>
        <w:pStyle w:val="ListParagraph"/>
        <w:numPr>
          <w:ilvl w:val="0"/>
          <w:numId w:val="12"/>
        </w:numPr>
        <w:ind w:left="709" w:hanging="709"/>
      </w:pPr>
      <w:bookmarkStart w:id="1" w:name="_Hlk221633795"/>
      <w:r>
        <w:t xml:space="preserve">All projects must evidence </w:t>
      </w:r>
      <w:r w:rsidR="00AD3FA6" w:rsidRPr="00AD3FA6">
        <w:t xml:space="preserve">a timeline for </w:t>
      </w:r>
      <w:r w:rsidR="00AD3FA6">
        <w:t>mak</w:t>
      </w:r>
      <w:r w:rsidR="00AD3FA6" w:rsidRPr="00AD3FA6">
        <w:t xml:space="preserve">ing the </w:t>
      </w:r>
      <w:r w:rsidR="00AD3FA6">
        <w:t xml:space="preserve">expenditure </w:t>
      </w:r>
      <w:r w:rsidR="00AD3FA6" w:rsidRPr="00AD3FA6">
        <w:t xml:space="preserve">and </w:t>
      </w:r>
      <w:r w:rsidR="00C31EB2">
        <w:t xml:space="preserve">the </w:t>
      </w:r>
      <w:r w:rsidR="00AD3FA6" w:rsidRPr="00AD3FA6">
        <w:t xml:space="preserve">submission of claims to draw down </w:t>
      </w:r>
      <w:r w:rsidR="00AD3FA6">
        <w:t xml:space="preserve">the </w:t>
      </w:r>
      <w:r w:rsidR="00AD3FA6" w:rsidRPr="00AD3FA6">
        <w:t>grant funding.</w:t>
      </w:r>
    </w:p>
    <w:bookmarkEnd w:id="1"/>
    <w:p w14:paraId="03686321" w14:textId="363A0729" w:rsidR="00AD3FA6" w:rsidRDefault="006808F8" w:rsidP="00313989">
      <w:pPr>
        <w:ind w:firstLine="709"/>
      </w:pPr>
      <w:r w:rsidRPr="00313989">
        <w:rPr>
          <w:b/>
          <w:bCs/>
        </w:rPr>
        <w:t>N</w:t>
      </w:r>
      <w:r w:rsidR="00313989">
        <w:rPr>
          <w:b/>
          <w:bCs/>
        </w:rPr>
        <w:t>B</w:t>
      </w:r>
      <w:r w:rsidRPr="00313989">
        <w:rPr>
          <w:b/>
          <w:bCs/>
        </w:rPr>
        <w:t>:</w:t>
      </w:r>
      <w:r>
        <w:t xml:space="preserve"> </w:t>
      </w:r>
      <w:r w:rsidR="00AD3FA6">
        <w:t>All project</w:t>
      </w:r>
      <w:r w:rsidR="005C234C">
        <w:t>s</w:t>
      </w:r>
      <w:r w:rsidR="00AD3FA6">
        <w:t xml:space="preserve"> must</w:t>
      </w:r>
      <w:r w:rsidR="005C234C">
        <w:t xml:space="preserve"> be</w:t>
      </w:r>
      <w:r w:rsidR="00AD3FA6">
        <w:t>:</w:t>
      </w:r>
    </w:p>
    <w:p w14:paraId="7351846A" w14:textId="71276955" w:rsidR="001C5142" w:rsidRDefault="005C234C" w:rsidP="00313989">
      <w:pPr>
        <w:pStyle w:val="ListParagraph"/>
        <w:numPr>
          <w:ilvl w:val="0"/>
          <w:numId w:val="12"/>
        </w:numPr>
      </w:pPr>
      <w:r w:rsidRPr="00313989">
        <w:rPr>
          <w:b/>
          <w:bCs/>
        </w:rPr>
        <w:t>Compliant</w:t>
      </w:r>
      <w:r w:rsidRPr="001C5142">
        <w:t xml:space="preserve"> </w:t>
      </w:r>
      <w:r w:rsidR="001C5142" w:rsidRPr="001C5142">
        <w:t xml:space="preserve">with the criteria of the </w:t>
      </w:r>
      <w:r w:rsidR="00313989">
        <w:t>F</w:t>
      </w:r>
      <w:r w:rsidR="001C5142" w:rsidRPr="001C5142">
        <w:t xml:space="preserve">und including the procurement </w:t>
      </w:r>
      <w:r w:rsidR="001C5142">
        <w:t>process for</w:t>
      </w:r>
      <w:r w:rsidR="001C5142" w:rsidRPr="001C5142">
        <w:t xml:space="preserve"> quotes. </w:t>
      </w:r>
    </w:p>
    <w:p w14:paraId="42F4280B" w14:textId="6335E157" w:rsidR="001C5142" w:rsidRDefault="001C5142" w:rsidP="00313989">
      <w:pPr>
        <w:pStyle w:val="ListParagraph"/>
        <w:numPr>
          <w:ilvl w:val="0"/>
          <w:numId w:val="12"/>
        </w:numPr>
      </w:pPr>
      <w:r w:rsidRPr="00313989">
        <w:rPr>
          <w:b/>
          <w:bCs/>
        </w:rPr>
        <w:t xml:space="preserve">Transparent </w:t>
      </w:r>
      <w:r>
        <w:t>as to how the project will be funded and identifying any potential conflicts of interest relating to delivery of the project.</w:t>
      </w:r>
    </w:p>
    <w:p w14:paraId="1A67E6D0" w14:textId="3FC49983" w:rsidR="00AD3FA6" w:rsidRPr="001C5142" w:rsidRDefault="001C5142" w:rsidP="00313989">
      <w:pPr>
        <w:pStyle w:val="ListParagraph"/>
        <w:numPr>
          <w:ilvl w:val="0"/>
          <w:numId w:val="12"/>
        </w:numPr>
      </w:pPr>
      <w:r w:rsidRPr="00313989">
        <w:rPr>
          <w:b/>
          <w:bCs/>
        </w:rPr>
        <w:t xml:space="preserve">Efficient </w:t>
      </w:r>
      <w:r>
        <w:t xml:space="preserve">in providing timescales for delivery of the project that can be met and a schedule for claims that can be achieved. </w:t>
      </w:r>
    </w:p>
    <w:p w14:paraId="799202E6" w14:textId="1070B31B" w:rsidR="00B807DD" w:rsidRPr="00043166" w:rsidRDefault="00B807DD" w:rsidP="00313989">
      <w:pPr>
        <w:ind w:left="720" w:hanging="720"/>
        <w:rPr>
          <w:b/>
          <w:bCs/>
        </w:rPr>
      </w:pPr>
      <w:r>
        <w:t xml:space="preserve"> </w:t>
      </w:r>
      <w:r w:rsidRPr="00043166">
        <w:rPr>
          <w:b/>
          <w:bCs/>
        </w:rPr>
        <w:t xml:space="preserve">4. </w:t>
      </w:r>
      <w:r w:rsidR="0051292F">
        <w:rPr>
          <w:b/>
          <w:bCs/>
        </w:rPr>
        <w:tab/>
      </w:r>
      <w:r w:rsidRPr="00043166">
        <w:rPr>
          <w:b/>
          <w:bCs/>
        </w:rPr>
        <w:t>Value for Money (</w:t>
      </w:r>
      <w:proofErr w:type="spellStart"/>
      <w:r w:rsidRPr="00043166">
        <w:rPr>
          <w:b/>
          <w:bCs/>
        </w:rPr>
        <w:t>VfM</w:t>
      </w:r>
      <w:proofErr w:type="spellEnd"/>
      <w:r w:rsidRPr="00043166">
        <w:rPr>
          <w:b/>
          <w:bCs/>
        </w:rPr>
        <w:t>) and Financial Viability (</w:t>
      </w:r>
      <w:r w:rsidR="00EC0493">
        <w:rPr>
          <w:b/>
          <w:bCs/>
        </w:rPr>
        <w:t>25</w:t>
      </w:r>
      <w:r w:rsidRPr="00043166">
        <w:rPr>
          <w:b/>
          <w:bCs/>
        </w:rPr>
        <w:t xml:space="preserve">%) </w:t>
      </w:r>
    </w:p>
    <w:p w14:paraId="09957F58" w14:textId="6D0945EA" w:rsidR="00043166" w:rsidRDefault="0051292F" w:rsidP="00B807DD">
      <w:r>
        <w:t>-</w:t>
      </w:r>
      <w:r>
        <w:tab/>
      </w:r>
      <w:r w:rsidR="00043166" w:rsidRPr="00043166">
        <w:t>Strong track record of trading and growth, including how this has been achieved.</w:t>
      </w:r>
    </w:p>
    <w:p w14:paraId="71861BE0" w14:textId="07D89B11" w:rsidR="00B807DD" w:rsidRDefault="0051292F" w:rsidP="0051292F">
      <w:pPr>
        <w:ind w:left="720" w:hanging="720"/>
      </w:pPr>
      <w:r>
        <w:t>-</w:t>
      </w:r>
      <w:r>
        <w:tab/>
        <w:t>A j</w:t>
      </w:r>
      <w:r w:rsidR="00B807DD">
        <w:t xml:space="preserve">ustification of </w:t>
      </w:r>
      <w:r>
        <w:t>c</w:t>
      </w:r>
      <w:r w:rsidR="00B807DD">
        <w:t>osts</w:t>
      </w:r>
      <w:r>
        <w:t xml:space="preserve"> to ensure they are </w:t>
      </w:r>
      <w:r w:rsidR="00B807DD">
        <w:t>reasonable</w:t>
      </w:r>
      <w:r>
        <w:t xml:space="preserve"> </w:t>
      </w:r>
      <w:r w:rsidR="00B807DD">
        <w:t>and comparable to market rates</w:t>
      </w:r>
      <w:r>
        <w:t>.</w:t>
      </w:r>
    </w:p>
    <w:p w14:paraId="40E856FD" w14:textId="1785F056" w:rsidR="00B807DD" w:rsidRDefault="0051292F" w:rsidP="0051292F">
      <w:pPr>
        <w:ind w:left="720" w:hanging="720"/>
      </w:pPr>
      <w:r>
        <w:t>-</w:t>
      </w:r>
      <w:r>
        <w:tab/>
        <w:t>E</w:t>
      </w:r>
      <w:r w:rsidR="00B807DD">
        <w:t xml:space="preserve">vidence of mandatory match funding </w:t>
      </w:r>
      <w:r w:rsidR="001571F9">
        <w:t xml:space="preserve">i.e. </w:t>
      </w:r>
      <w:r>
        <w:t>30% of the total project cost</w:t>
      </w:r>
      <w:r w:rsidR="001571F9">
        <w:t>s net of VAT</w:t>
      </w:r>
      <w:r w:rsidR="00B807DD">
        <w:t xml:space="preserve"> and financial standing.</w:t>
      </w:r>
    </w:p>
    <w:p w14:paraId="1E025C19" w14:textId="5BB77B6B" w:rsidR="00043166" w:rsidRDefault="0051292F" w:rsidP="0051292F">
      <w:pPr>
        <w:ind w:left="720" w:hanging="720"/>
      </w:pPr>
      <w:r>
        <w:t>-</w:t>
      </w:r>
      <w:r>
        <w:tab/>
        <w:t xml:space="preserve">Projects that demonstrate </w:t>
      </w:r>
      <w:r w:rsidR="00E92A56" w:rsidRPr="00E92A56">
        <w:t>a high ratio of private investment to public grant</w:t>
      </w:r>
      <w:r>
        <w:t xml:space="preserve"> will be scored higher.</w:t>
      </w:r>
    </w:p>
    <w:p w14:paraId="7C573194" w14:textId="5FC059FB" w:rsidR="0051292F" w:rsidRDefault="0051292F" w:rsidP="0051292F">
      <w:pPr>
        <w:ind w:left="720"/>
      </w:pPr>
      <w:r>
        <w:rPr>
          <w:b/>
          <w:bCs/>
        </w:rPr>
        <w:t>N</w:t>
      </w:r>
      <w:r w:rsidR="00313989">
        <w:rPr>
          <w:b/>
          <w:bCs/>
        </w:rPr>
        <w:t>B</w:t>
      </w:r>
      <w:r w:rsidRPr="0051292F">
        <w:rPr>
          <w:b/>
          <w:bCs/>
        </w:rPr>
        <w:t>:</w:t>
      </w:r>
      <w:r>
        <w:t xml:space="preserve"> </w:t>
      </w:r>
      <w:r w:rsidRPr="0051292F">
        <w:t>If shortlisted to proceed</w:t>
      </w:r>
      <w:r w:rsidR="00F7238C">
        <w:t xml:space="preserve">, </w:t>
      </w:r>
      <w:r w:rsidRPr="0051292F">
        <w:t>further</w:t>
      </w:r>
      <w:r>
        <w:t xml:space="preserve"> </w:t>
      </w:r>
      <w:r w:rsidR="003F4F25">
        <w:t xml:space="preserve">financial </w:t>
      </w:r>
      <w:r w:rsidR="003F4F25" w:rsidRPr="0051292F">
        <w:t>due</w:t>
      </w:r>
      <w:r w:rsidRPr="0051292F">
        <w:t xml:space="preserve"> diligence checks</w:t>
      </w:r>
      <w:r>
        <w:t xml:space="preserve"> </w:t>
      </w:r>
      <w:r w:rsidRPr="0051292F">
        <w:t>will be undertaken.</w:t>
      </w:r>
    </w:p>
    <w:p w14:paraId="60F8B8F5" w14:textId="77777777" w:rsidR="0081428C" w:rsidRDefault="0081428C" w:rsidP="0051292F">
      <w:pPr>
        <w:ind w:left="720"/>
      </w:pPr>
    </w:p>
    <w:p w14:paraId="2ACF92F2" w14:textId="7671EBF5" w:rsidR="00B807DD" w:rsidRPr="00043166" w:rsidRDefault="00B807DD" w:rsidP="00B807DD">
      <w:pPr>
        <w:rPr>
          <w:b/>
          <w:bCs/>
        </w:rPr>
      </w:pPr>
      <w:r w:rsidRPr="00043166">
        <w:rPr>
          <w:b/>
          <w:bCs/>
        </w:rPr>
        <w:lastRenderedPageBreak/>
        <w:t xml:space="preserve">5. </w:t>
      </w:r>
      <w:r w:rsidR="00CA0E55">
        <w:rPr>
          <w:b/>
          <w:bCs/>
        </w:rPr>
        <w:tab/>
      </w:r>
      <w:r w:rsidRPr="00043166">
        <w:rPr>
          <w:b/>
          <w:bCs/>
        </w:rPr>
        <w:t>Sustainability and Social Value (10%)</w:t>
      </w:r>
    </w:p>
    <w:p w14:paraId="2BEB1A20" w14:textId="4CA23C1D" w:rsidR="003F4F25" w:rsidRDefault="003F4F25" w:rsidP="00CA0E55">
      <w:pPr>
        <w:ind w:firstLine="360"/>
      </w:pPr>
      <w:r>
        <w:t>Projects that can evidence the following will score higher:</w:t>
      </w:r>
    </w:p>
    <w:p w14:paraId="78450E6D" w14:textId="5FD46050" w:rsidR="00B807DD" w:rsidRDefault="003F4F25" w:rsidP="003F4F25">
      <w:pPr>
        <w:pStyle w:val="ListParagraph"/>
        <w:numPr>
          <w:ilvl w:val="0"/>
          <w:numId w:val="9"/>
        </w:numPr>
      </w:pPr>
      <w:r>
        <w:t>Positive e</w:t>
      </w:r>
      <w:r w:rsidR="00B807DD">
        <w:t xml:space="preserve">nvironmental </w:t>
      </w:r>
      <w:r>
        <w:t>impacts, i.e. n</w:t>
      </w:r>
      <w:r w:rsidR="00B807DD">
        <w:t xml:space="preserve">et-zero contribution, decarbonization plans or </w:t>
      </w:r>
      <w:r>
        <w:t xml:space="preserve">general </w:t>
      </w:r>
      <w:r w:rsidR="00B807DD">
        <w:t>reduction in environmental impact.</w:t>
      </w:r>
    </w:p>
    <w:p w14:paraId="0C06B412" w14:textId="529E2735" w:rsidR="00B807DD" w:rsidRDefault="003F4F25" w:rsidP="00B807DD">
      <w:pPr>
        <w:pStyle w:val="ListParagraph"/>
        <w:numPr>
          <w:ilvl w:val="0"/>
          <w:numId w:val="9"/>
        </w:numPr>
      </w:pPr>
      <w:r>
        <w:t>E</w:t>
      </w:r>
      <w:r w:rsidR="00B807DD">
        <w:t>quality, diversity or fair work practices.</w:t>
      </w:r>
    </w:p>
    <w:p w14:paraId="0F19F872" w14:textId="77777777" w:rsidR="003F4F25" w:rsidRDefault="003F4F25" w:rsidP="00F64154">
      <w:pPr>
        <w:pStyle w:val="ListParagraph"/>
        <w:numPr>
          <w:ilvl w:val="0"/>
          <w:numId w:val="9"/>
        </w:numPr>
      </w:pPr>
      <w:r>
        <w:t xml:space="preserve">Commitment to supporting </w:t>
      </w:r>
      <w:r w:rsidR="00043166" w:rsidRPr="00043166">
        <w:t>apprenticeships or training opportunities to underrepresented groups</w:t>
      </w:r>
      <w:r>
        <w:t>.</w:t>
      </w:r>
    </w:p>
    <w:p w14:paraId="35C53E87" w14:textId="287684A5" w:rsidR="00B807DD" w:rsidRDefault="003F4F25" w:rsidP="00043166">
      <w:pPr>
        <w:pStyle w:val="ListParagraph"/>
        <w:numPr>
          <w:ilvl w:val="0"/>
          <w:numId w:val="9"/>
        </w:numPr>
      </w:pPr>
      <w:r>
        <w:t xml:space="preserve">Wider </w:t>
      </w:r>
      <w:r w:rsidR="00043166">
        <w:t>tangible benefits to the community as part of the delivery of the project</w:t>
      </w:r>
      <w:r>
        <w:t xml:space="preserve">, including supporting local supply chains. </w:t>
      </w:r>
    </w:p>
    <w:p w14:paraId="2C3F867B" w14:textId="77777777" w:rsidR="00313989" w:rsidRDefault="00313989" w:rsidP="00C33268">
      <w:pPr>
        <w:rPr>
          <w:b/>
          <w:bCs/>
        </w:rPr>
      </w:pPr>
    </w:p>
    <w:p w14:paraId="2C4865F4" w14:textId="725E71C5" w:rsidR="00D44A5C" w:rsidRPr="00D44A5C" w:rsidRDefault="00D44A5C" w:rsidP="00C33268">
      <w:pPr>
        <w:rPr>
          <w:b/>
          <w:bCs/>
        </w:rPr>
      </w:pPr>
      <w:r w:rsidRPr="00D44A5C">
        <w:rPr>
          <w:b/>
          <w:bCs/>
        </w:rPr>
        <w:t>S</w:t>
      </w:r>
      <w:r w:rsidR="00C33268" w:rsidRPr="00D44A5C">
        <w:rPr>
          <w:b/>
          <w:bCs/>
        </w:rPr>
        <w:t xml:space="preserve">coring </w:t>
      </w:r>
      <w:r w:rsidR="00313989">
        <w:rPr>
          <w:b/>
          <w:bCs/>
        </w:rPr>
        <w:t>Matrix</w:t>
      </w:r>
    </w:p>
    <w:p w14:paraId="621AAE69" w14:textId="606B6837" w:rsidR="00D44A5C" w:rsidRDefault="00313989" w:rsidP="00C33268">
      <w:r>
        <w:t xml:space="preserve">The following </w:t>
      </w:r>
      <w:r w:rsidR="00D44A5C">
        <w:t xml:space="preserve">will be used to score </w:t>
      </w:r>
      <w:r w:rsidR="0078191E" w:rsidRPr="00F7238C">
        <w:t>Applications</w:t>
      </w:r>
      <w:r w:rsidRPr="00F7238C">
        <w:t>:</w:t>
      </w:r>
    </w:p>
    <w:p w14:paraId="60B90245" w14:textId="61178DAB" w:rsidR="00C33268" w:rsidRDefault="00C33268" w:rsidP="00C33268">
      <w:r w:rsidRPr="00D44A5C">
        <w:rPr>
          <w:b/>
          <w:bCs/>
        </w:rPr>
        <w:t>Excellent</w:t>
      </w:r>
      <w:r w:rsidR="00D44A5C">
        <w:rPr>
          <w:b/>
          <w:bCs/>
        </w:rPr>
        <w:t xml:space="preserve"> – 3 points</w:t>
      </w:r>
      <w:r>
        <w:t xml:space="preserve"> </w:t>
      </w:r>
      <w:r w:rsidR="00D44A5C">
        <w:t xml:space="preserve">                                                                                                                                          </w:t>
      </w:r>
      <w:r>
        <w:t>Clear, relevant response that goes beyond expectation and provides detailed examples.</w:t>
      </w:r>
    </w:p>
    <w:p w14:paraId="3499056E" w14:textId="694E286E" w:rsidR="00C33268" w:rsidRDefault="00CA0E55" w:rsidP="00C33268">
      <w:r w:rsidRPr="00CA0E55">
        <w:rPr>
          <w:b/>
          <w:bCs/>
        </w:rPr>
        <w:t xml:space="preserve">Good - </w:t>
      </w:r>
      <w:r w:rsidR="00C33268" w:rsidRPr="00CA0E55">
        <w:rPr>
          <w:b/>
          <w:bCs/>
        </w:rPr>
        <w:t>2 points</w:t>
      </w:r>
      <w:r w:rsidRPr="00CA0E55">
        <w:rPr>
          <w:b/>
          <w:bCs/>
        </w:rPr>
        <w:t xml:space="preserve">                                                                                                                                               </w:t>
      </w:r>
      <w:r w:rsidR="00C33268" w:rsidRPr="00CA0E55">
        <w:rPr>
          <w:b/>
          <w:bCs/>
        </w:rPr>
        <w:t xml:space="preserve"> </w:t>
      </w:r>
      <w:r w:rsidR="00C33268">
        <w:t>Well thought through, addresses all requirements and provides evidence.</w:t>
      </w:r>
    </w:p>
    <w:p w14:paraId="6D722A2B" w14:textId="4D896964" w:rsidR="00C33268" w:rsidRDefault="00C33268" w:rsidP="00C33268">
      <w:r w:rsidRPr="00CA0E55">
        <w:rPr>
          <w:b/>
          <w:bCs/>
        </w:rPr>
        <w:t>Satisfactory</w:t>
      </w:r>
      <w:r w:rsidR="00CA0E55">
        <w:rPr>
          <w:b/>
          <w:bCs/>
        </w:rPr>
        <w:t xml:space="preserve"> - </w:t>
      </w:r>
      <w:r w:rsidR="00CA0E55" w:rsidRPr="00CA0E55">
        <w:rPr>
          <w:b/>
          <w:bCs/>
        </w:rPr>
        <w:t xml:space="preserve">1 point                                                                                                                                                      </w:t>
      </w:r>
      <w:r>
        <w:t>Addresses most requirements with sufficient evidence.</w:t>
      </w:r>
    </w:p>
    <w:p w14:paraId="5CE91099" w14:textId="3BE207B3" w:rsidR="003D1E7B" w:rsidRDefault="00C33268" w:rsidP="00C33268">
      <w:r w:rsidRPr="00CA0E55">
        <w:rPr>
          <w:b/>
          <w:bCs/>
        </w:rPr>
        <w:t>Unsatisfactory</w:t>
      </w:r>
      <w:r w:rsidR="00CA0E55" w:rsidRPr="00CA0E55">
        <w:rPr>
          <w:b/>
          <w:bCs/>
        </w:rPr>
        <w:t xml:space="preserve"> – 0 points                                                                                                                                            </w:t>
      </w:r>
      <w:r w:rsidR="00CA0E55">
        <w:t>No/I</w:t>
      </w:r>
      <w:r>
        <w:t>nsufficient evidence</w:t>
      </w:r>
      <w:r w:rsidR="00CA0E55">
        <w:t xml:space="preserve"> provided. </w:t>
      </w:r>
    </w:p>
    <w:p w14:paraId="63B1AC80" w14:textId="77777777" w:rsidR="0081428C" w:rsidRDefault="0081428C" w:rsidP="00C33268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6"/>
        <w:gridCol w:w="1559"/>
        <w:gridCol w:w="1804"/>
      </w:tblGrid>
      <w:tr w:rsidR="00EC0493" w:rsidRPr="00741C00" w14:paraId="3B19D19B" w14:textId="77777777" w:rsidTr="004157FD">
        <w:trPr>
          <w:trHeight w:val="896"/>
          <w:jc w:val="center"/>
        </w:trPr>
        <w:tc>
          <w:tcPr>
            <w:tcW w:w="6276" w:type="dxa"/>
            <w:shd w:val="clear" w:color="auto" w:fill="D5DCE4"/>
          </w:tcPr>
          <w:p w14:paraId="2D20E44D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61E33477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  <w:b/>
              </w:rPr>
            </w:pPr>
            <w:r w:rsidRPr="00741C00">
              <w:rPr>
                <w:rFonts w:ascii="Arial" w:eastAsia="Calibri" w:hAnsi="Arial" w:cs="Arial"/>
                <w:b/>
              </w:rPr>
              <w:t>Scoring Criteria</w:t>
            </w:r>
          </w:p>
        </w:tc>
        <w:tc>
          <w:tcPr>
            <w:tcW w:w="1559" w:type="dxa"/>
            <w:shd w:val="clear" w:color="auto" w:fill="D5DCE4"/>
          </w:tcPr>
          <w:p w14:paraId="6460B203" w14:textId="13300D3F" w:rsidR="00EC0493" w:rsidRPr="00741C00" w:rsidRDefault="00EC0493" w:rsidP="004157FD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</w:t>
            </w:r>
            <w:r w:rsidRPr="00741C00">
              <w:rPr>
                <w:rFonts w:ascii="Arial" w:eastAsia="Calibri" w:hAnsi="Arial" w:cs="Arial"/>
                <w:b/>
              </w:rPr>
              <w:t xml:space="preserve">ints 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741C00">
              <w:rPr>
                <w:rFonts w:ascii="Arial" w:eastAsia="Calibri" w:hAnsi="Arial" w:cs="Arial"/>
                <w:b/>
              </w:rPr>
              <w:t>warded</w:t>
            </w:r>
          </w:p>
        </w:tc>
        <w:tc>
          <w:tcPr>
            <w:tcW w:w="1804" w:type="dxa"/>
            <w:shd w:val="clear" w:color="auto" w:fill="D5DCE4"/>
          </w:tcPr>
          <w:p w14:paraId="6C9A15CC" w14:textId="77777777" w:rsidR="00EC0493" w:rsidRPr="00741C00" w:rsidRDefault="00EC0493" w:rsidP="004157FD">
            <w:pPr>
              <w:rPr>
                <w:rFonts w:ascii="Arial" w:eastAsia="Calibri" w:hAnsi="Arial" w:cs="Arial"/>
                <w:b/>
              </w:rPr>
            </w:pPr>
            <w:r w:rsidRPr="00741C00">
              <w:rPr>
                <w:rFonts w:ascii="Arial" w:eastAsia="Calibri" w:hAnsi="Arial" w:cs="Arial"/>
                <w:b/>
              </w:rPr>
              <w:t>Weighting</w:t>
            </w:r>
          </w:p>
          <w:p w14:paraId="6E4324D9" w14:textId="77777777" w:rsidR="00EC0493" w:rsidRPr="00741C00" w:rsidRDefault="00EC0493" w:rsidP="004157FD">
            <w:pPr>
              <w:rPr>
                <w:rFonts w:ascii="Arial" w:eastAsia="Calibri" w:hAnsi="Arial" w:cs="Arial"/>
                <w:b/>
              </w:rPr>
            </w:pPr>
          </w:p>
          <w:p w14:paraId="20E98ED9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  <w:b/>
              </w:rPr>
            </w:pPr>
            <w:r w:rsidRPr="00741C00">
              <w:rPr>
                <w:rFonts w:ascii="Arial" w:eastAsia="Calibri" w:hAnsi="Arial" w:cs="Arial"/>
                <w:b/>
              </w:rPr>
              <w:t>%</w:t>
            </w:r>
          </w:p>
        </w:tc>
      </w:tr>
      <w:tr w:rsidR="00EC0493" w:rsidRPr="00741C00" w14:paraId="3F6C8A6E" w14:textId="77777777" w:rsidTr="004157FD">
        <w:trPr>
          <w:jc w:val="center"/>
        </w:trPr>
        <w:tc>
          <w:tcPr>
            <w:tcW w:w="6276" w:type="dxa"/>
          </w:tcPr>
          <w:p w14:paraId="688AF8AE" w14:textId="66FC4F0D" w:rsidR="00EC0493" w:rsidRPr="00741C00" w:rsidRDefault="00EC0493" w:rsidP="004157FD">
            <w:pPr>
              <w:rPr>
                <w:rFonts w:ascii="Arial" w:hAnsi="Arial" w:cs="Arial"/>
              </w:rPr>
            </w:pPr>
            <w:r w:rsidRPr="00EC0493">
              <w:rPr>
                <w:rFonts w:ascii="Arial" w:hAnsi="Arial" w:cs="Arial"/>
              </w:rPr>
              <w:t xml:space="preserve">Strategic Fit and Alignment </w:t>
            </w:r>
          </w:p>
        </w:tc>
        <w:tc>
          <w:tcPr>
            <w:tcW w:w="1559" w:type="dxa"/>
          </w:tcPr>
          <w:p w14:paraId="36730F17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04" w:type="dxa"/>
          </w:tcPr>
          <w:p w14:paraId="7716C410" w14:textId="2767FEF6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15%</w:t>
            </w:r>
          </w:p>
        </w:tc>
      </w:tr>
      <w:tr w:rsidR="00EC0493" w:rsidRPr="00741C00" w14:paraId="5D12FB6A" w14:textId="77777777" w:rsidTr="004157FD">
        <w:trPr>
          <w:jc w:val="center"/>
        </w:trPr>
        <w:tc>
          <w:tcPr>
            <w:tcW w:w="6276" w:type="dxa"/>
          </w:tcPr>
          <w:p w14:paraId="4207781A" w14:textId="0DEB65B0" w:rsidR="00EC0493" w:rsidRPr="00741C00" w:rsidRDefault="00EC0493" w:rsidP="004157FD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eastAsia="en-GB"/>
              </w:rPr>
            </w:pPr>
            <w:r w:rsidRPr="00EC0493">
              <w:rPr>
                <w:rFonts w:ascii="Arial" w:hAnsi="Arial" w:cs="Arial"/>
                <w:color w:val="000000"/>
                <w:lang w:eastAsia="en-GB"/>
              </w:rPr>
              <w:t>Economic Impact and Growth Potential</w:t>
            </w:r>
          </w:p>
        </w:tc>
        <w:tc>
          <w:tcPr>
            <w:tcW w:w="1559" w:type="dxa"/>
          </w:tcPr>
          <w:p w14:paraId="339744A1" w14:textId="77777777" w:rsidR="00EC0493" w:rsidRPr="00741C00" w:rsidRDefault="00EC0493" w:rsidP="00415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4D309D65" w14:textId="2FD0AEE0" w:rsidR="00EC0493" w:rsidRPr="00741C00" w:rsidRDefault="00EC0493" w:rsidP="004157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</w:tr>
      <w:tr w:rsidR="00EC0493" w:rsidRPr="00741C00" w14:paraId="7A43F7E9" w14:textId="77777777" w:rsidTr="004157FD">
        <w:trPr>
          <w:trHeight w:val="345"/>
          <w:jc w:val="center"/>
        </w:trPr>
        <w:tc>
          <w:tcPr>
            <w:tcW w:w="6276" w:type="dxa"/>
          </w:tcPr>
          <w:p w14:paraId="3C43F58A" w14:textId="380C3D07" w:rsidR="00EC0493" w:rsidRPr="00741C00" w:rsidRDefault="00EC0493" w:rsidP="004157FD">
            <w:pPr>
              <w:rPr>
                <w:rFonts w:ascii="Arial" w:hAnsi="Arial" w:cs="Arial"/>
              </w:rPr>
            </w:pPr>
            <w:r w:rsidRPr="00EC0493">
              <w:rPr>
                <w:rFonts w:ascii="Arial" w:hAnsi="Arial" w:cs="Arial"/>
              </w:rPr>
              <w:t xml:space="preserve">Deliverability and Project Management </w:t>
            </w:r>
          </w:p>
        </w:tc>
        <w:tc>
          <w:tcPr>
            <w:tcW w:w="1559" w:type="dxa"/>
          </w:tcPr>
          <w:p w14:paraId="162F756B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04" w:type="dxa"/>
          </w:tcPr>
          <w:p w14:paraId="35B84BE2" w14:textId="7EC8CB59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25%</w:t>
            </w:r>
          </w:p>
        </w:tc>
      </w:tr>
      <w:tr w:rsidR="00EC0493" w:rsidRPr="00741C00" w14:paraId="7D3D3A23" w14:textId="77777777" w:rsidTr="004157FD">
        <w:trPr>
          <w:trHeight w:val="47"/>
          <w:jc w:val="center"/>
        </w:trPr>
        <w:tc>
          <w:tcPr>
            <w:tcW w:w="6276" w:type="dxa"/>
          </w:tcPr>
          <w:p w14:paraId="1C8AAB8B" w14:textId="7EFF338C" w:rsidR="00EC0493" w:rsidRPr="00741C00" w:rsidRDefault="00EC0493" w:rsidP="004157FD">
            <w:pPr>
              <w:rPr>
                <w:rFonts w:ascii="Arial" w:hAnsi="Arial" w:cs="Arial"/>
              </w:rPr>
            </w:pPr>
            <w:r w:rsidRPr="00EC0493">
              <w:rPr>
                <w:rFonts w:ascii="Arial" w:hAnsi="Arial" w:cs="Arial"/>
              </w:rPr>
              <w:t>Value for Money (</w:t>
            </w:r>
            <w:proofErr w:type="spellStart"/>
            <w:r w:rsidRPr="00EC0493">
              <w:rPr>
                <w:rFonts w:ascii="Arial" w:hAnsi="Arial" w:cs="Arial"/>
              </w:rPr>
              <w:t>VfM</w:t>
            </w:r>
            <w:proofErr w:type="spellEnd"/>
            <w:r w:rsidRPr="00EC0493">
              <w:rPr>
                <w:rFonts w:ascii="Arial" w:hAnsi="Arial" w:cs="Arial"/>
              </w:rPr>
              <w:t>) and Financial Viability</w:t>
            </w:r>
          </w:p>
        </w:tc>
        <w:tc>
          <w:tcPr>
            <w:tcW w:w="1559" w:type="dxa"/>
          </w:tcPr>
          <w:p w14:paraId="0EE3BDC1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04" w:type="dxa"/>
          </w:tcPr>
          <w:p w14:paraId="51F348D0" w14:textId="285CED60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25%</w:t>
            </w:r>
          </w:p>
        </w:tc>
      </w:tr>
      <w:tr w:rsidR="00EC0493" w:rsidRPr="00741C00" w14:paraId="6BB9D5AA" w14:textId="77777777" w:rsidTr="004157FD">
        <w:trPr>
          <w:trHeight w:val="457"/>
          <w:jc w:val="center"/>
        </w:trPr>
        <w:tc>
          <w:tcPr>
            <w:tcW w:w="6276" w:type="dxa"/>
          </w:tcPr>
          <w:p w14:paraId="30EC441B" w14:textId="130B2F51" w:rsidR="00EC0493" w:rsidRPr="00741C00" w:rsidRDefault="00EC0493" w:rsidP="004157FD">
            <w:pPr>
              <w:rPr>
                <w:rFonts w:ascii="Arial" w:eastAsia="Calibri" w:hAnsi="Arial" w:cs="Arial"/>
              </w:rPr>
            </w:pPr>
            <w:r w:rsidRPr="00EC0493">
              <w:rPr>
                <w:rFonts w:ascii="Arial" w:eastAsia="Calibri" w:hAnsi="Arial" w:cs="Arial"/>
              </w:rPr>
              <w:t>Sustainability and Social Value</w:t>
            </w:r>
          </w:p>
        </w:tc>
        <w:tc>
          <w:tcPr>
            <w:tcW w:w="1559" w:type="dxa"/>
          </w:tcPr>
          <w:p w14:paraId="72FD8F28" w14:textId="77777777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04" w:type="dxa"/>
          </w:tcPr>
          <w:p w14:paraId="0469D916" w14:textId="6C299630" w:rsidR="00EC0493" w:rsidRPr="00741C00" w:rsidRDefault="00EC0493" w:rsidP="004157F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10%</w:t>
            </w:r>
          </w:p>
        </w:tc>
      </w:tr>
    </w:tbl>
    <w:p w14:paraId="61CF3ADB" w14:textId="77777777" w:rsidR="00EC0493" w:rsidRDefault="00EC0493" w:rsidP="00C33268"/>
    <w:p w14:paraId="559555F2" w14:textId="77777777" w:rsidR="00EC0493" w:rsidRDefault="00EC0493" w:rsidP="00C33268"/>
    <w:sectPr w:rsidR="00EC049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E2D5" w14:textId="77777777" w:rsidR="00412608" w:rsidRDefault="00412608" w:rsidP="00412608">
      <w:pPr>
        <w:spacing w:after="0" w:line="240" w:lineRule="auto"/>
      </w:pPr>
      <w:r>
        <w:separator/>
      </w:r>
    </w:p>
  </w:endnote>
  <w:endnote w:type="continuationSeparator" w:id="0">
    <w:p w14:paraId="401CA3F9" w14:textId="77777777" w:rsidR="00412608" w:rsidRDefault="00412608" w:rsidP="0041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3730" w14:textId="1772DFAC" w:rsidR="00412608" w:rsidRPr="00412608" w:rsidRDefault="00412608">
    <w:pPr>
      <w:pStyle w:val="Footer"/>
      <w:rPr>
        <w:sz w:val="20"/>
        <w:szCs w:val="20"/>
      </w:rPr>
    </w:pPr>
    <w:r w:rsidRPr="00412608">
      <w:rPr>
        <w:sz w:val="20"/>
        <w:szCs w:val="20"/>
      </w:rPr>
      <w:t>Version 1.</w:t>
    </w:r>
    <w:r w:rsidR="00B13C28">
      <w:rPr>
        <w:sz w:val="20"/>
        <w:szCs w:val="20"/>
      </w:rPr>
      <w:t>2</w:t>
    </w:r>
    <w:r w:rsidRPr="00412608">
      <w:rPr>
        <w:sz w:val="20"/>
        <w:szCs w:val="20"/>
      </w:rPr>
      <w:t xml:space="preserve">. </w:t>
    </w:r>
    <w:r>
      <w:rPr>
        <w:sz w:val="20"/>
        <w:szCs w:val="20"/>
      </w:rPr>
      <w:t xml:space="preserve">– </w:t>
    </w:r>
    <w:r w:rsidR="0078191E">
      <w:rPr>
        <w:sz w:val="20"/>
        <w:szCs w:val="20"/>
      </w:rPr>
      <w:t>20</w:t>
    </w:r>
    <w:r>
      <w:rPr>
        <w:sz w:val="20"/>
        <w:szCs w:val="20"/>
      </w:rPr>
      <w:t>.02.26.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73A2" w14:textId="77777777" w:rsidR="00412608" w:rsidRDefault="00412608" w:rsidP="00412608">
      <w:pPr>
        <w:spacing w:after="0" w:line="240" w:lineRule="auto"/>
      </w:pPr>
      <w:r>
        <w:separator/>
      </w:r>
    </w:p>
  </w:footnote>
  <w:footnote w:type="continuationSeparator" w:id="0">
    <w:p w14:paraId="152A38EB" w14:textId="77777777" w:rsidR="00412608" w:rsidRDefault="00412608" w:rsidP="00412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CBA"/>
    <w:multiLevelType w:val="hybridMultilevel"/>
    <w:tmpl w:val="5EA68C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2E5849"/>
    <w:multiLevelType w:val="hybridMultilevel"/>
    <w:tmpl w:val="5F969B6E"/>
    <w:lvl w:ilvl="0" w:tplc="B5CE1F24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3A14E1"/>
    <w:multiLevelType w:val="hybridMultilevel"/>
    <w:tmpl w:val="46767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7C6463"/>
    <w:multiLevelType w:val="hybridMultilevel"/>
    <w:tmpl w:val="DDEAF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95372"/>
    <w:multiLevelType w:val="hybridMultilevel"/>
    <w:tmpl w:val="A9083F78"/>
    <w:lvl w:ilvl="0" w:tplc="E222B30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A1362"/>
    <w:multiLevelType w:val="hybridMultilevel"/>
    <w:tmpl w:val="9E245C06"/>
    <w:lvl w:ilvl="0" w:tplc="B5CE1F2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C7E1A"/>
    <w:multiLevelType w:val="hybridMultilevel"/>
    <w:tmpl w:val="1340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639D0"/>
    <w:multiLevelType w:val="hybridMultilevel"/>
    <w:tmpl w:val="53B25A0E"/>
    <w:lvl w:ilvl="0" w:tplc="F36E63F6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EC3A42"/>
    <w:multiLevelType w:val="hybridMultilevel"/>
    <w:tmpl w:val="26DAFE12"/>
    <w:lvl w:ilvl="0" w:tplc="B5CE1F2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57A6F"/>
    <w:multiLevelType w:val="hybridMultilevel"/>
    <w:tmpl w:val="E0CA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02AC7"/>
    <w:multiLevelType w:val="hybridMultilevel"/>
    <w:tmpl w:val="74507F6A"/>
    <w:lvl w:ilvl="0" w:tplc="302C7E6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D7CF2"/>
    <w:multiLevelType w:val="hybridMultilevel"/>
    <w:tmpl w:val="4CF0E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9447E"/>
    <w:multiLevelType w:val="hybridMultilevel"/>
    <w:tmpl w:val="CC00C560"/>
    <w:lvl w:ilvl="0" w:tplc="C262A948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780167">
    <w:abstractNumId w:val="6"/>
  </w:num>
  <w:num w:numId="2" w16cid:durableId="1362512661">
    <w:abstractNumId w:val="3"/>
  </w:num>
  <w:num w:numId="3" w16cid:durableId="1976594699">
    <w:abstractNumId w:val="9"/>
  </w:num>
  <w:num w:numId="4" w16cid:durableId="578250037">
    <w:abstractNumId w:val="11"/>
  </w:num>
  <w:num w:numId="5" w16cid:durableId="5980299">
    <w:abstractNumId w:val="12"/>
  </w:num>
  <w:num w:numId="6" w16cid:durableId="1575317223">
    <w:abstractNumId w:val="4"/>
  </w:num>
  <w:num w:numId="7" w16cid:durableId="1526943612">
    <w:abstractNumId w:val="0"/>
  </w:num>
  <w:num w:numId="8" w16cid:durableId="1922761748">
    <w:abstractNumId w:val="10"/>
  </w:num>
  <w:num w:numId="9" w16cid:durableId="849371584">
    <w:abstractNumId w:val="8"/>
  </w:num>
  <w:num w:numId="10" w16cid:durableId="1943536717">
    <w:abstractNumId w:val="7"/>
  </w:num>
  <w:num w:numId="11" w16cid:durableId="1623801566">
    <w:abstractNumId w:val="1"/>
  </w:num>
  <w:num w:numId="12" w16cid:durableId="1848784280">
    <w:abstractNumId w:val="5"/>
  </w:num>
  <w:num w:numId="13" w16cid:durableId="182592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68"/>
    <w:rsid w:val="0003165C"/>
    <w:rsid w:val="00043166"/>
    <w:rsid w:val="00093224"/>
    <w:rsid w:val="000F0FB3"/>
    <w:rsid w:val="00147F20"/>
    <w:rsid w:val="001571F9"/>
    <w:rsid w:val="001A1D98"/>
    <w:rsid w:val="001B3182"/>
    <w:rsid w:val="001C5142"/>
    <w:rsid w:val="001C6CED"/>
    <w:rsid w:val="00203BB5"/>
    <w:rsid w:val="00313989"/>
    <w:rsid w:val="00347FE3"/>
    <w:rsid w:val="00371CB7"/>
    <w:rsid w:val="003D1E7B"/>
    <w:rsid w:val="003F4F25"/>
    <w:rsid w:val="00412608"/>
    <w:rsid w:val="00462A95"/>
    <w:rsid w:val="0046445B"/>
    <w:rsid w:val="00473839"/>
    <w:rsid w:val="0051292F"/>
    <w:rsid w:val="00534FC2"/>
    <w:rsid w:val="005956D7"/>
    <w:rsid w:val="005B45B8"/>
    <w:rsid w:val="005C234C"/>
    <w:rsid w:val="00603948"/>
    <w:rsid w:val="00606FBC"/>
    <w:rsid w:val="00617798"/>
    <w:rsid w:val="006808F8"/>
    <w:rsid w:val="006A40A8"/>
    <w:rsid w:val="006D6D30"/>
    <w:rsid w:val="007404A0"/>
    <w:rsid w:val="0078191E"/>
    <w:rsid w:val="007B30E0"/>
    <w:rsid w:val="0081428C"/>
    <w:rsid w:val="008D2E71"/>
    <w:rsid w:val="0091120D"/>
    <w:rsid w:val="0091142A"/>
    <w:rsid w:val="0093470C"/>
    <w:rsid w:val="00A660AC"/>
    <w:rsid w:val="00A86367"/>
    <w:rsid w:val="00AD3FA6"/>
    <w:rsid w:val="00AF61C1"/>
    <w:rsid w:val="00B13C28"/>
    <w:rsid w:val="00B56C39"/>
    <w:rsid w:val="00B807DD"/>
    <w:rsid w:val="00C31EB2"/>
    <w:rsid w:val="00C33268"/>
    <w:rsid w:val="00C870DC"/>
    <w:rsid w:val="00C90C2E"/>
    <w:rsid w:val="00CA0E55"/>
    <w:rsid w:val="00D44A5C"/>
    <w:rsid w:val="00D45564"/>
    <w:rsid w:val="00D65109"/>
    <w:rsid w:val="00D7583C"/>
    <w:rsid w:val="00E92A56"/>
    <w:rsid w:val="00EC0493"/>
    <w:rsid w:val="00EF5B7D"/>
    <w:rsid w:val="00F64154"/>
    <w:rsid w:val="00F7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147C"/>
  <w15:chartTrackingRefBased/>
  <w15:docId w15:val="{ACCDD786-9D04-4BDB-84C3-254EBD9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2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608"/>
  </w:style>
  <w:style w:type="paragraph" w:styleId="Footer">
    <w:name w:val="footer"/>
    <w:basedOn w:val="Normal"/>
    <w:link w:val="FooterChar"/>
    <w:uiPriority w:val="99"/>
    <w:unhideWhenUsed/>
    <w:rsid w:val="00412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929</Words>
  <Characters>5132</Characters>
  <Application>Microsoft Office Word</Application>
  <DocSecurity>0</DocSecurity>
  <Lines>150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Davies</dc:creator>
  <cp:keywords/>
  <dc:description/>
  <cp:lastModifiedBy>Julie Davies</cp:lastModifiedBy>
  <cp:revision>5</cp:revision>
  <dcterms:created xsi:type="dcterms:W3CDTF">2026-02-20T17:02:00Z</dcterms:created>
  <dcterms:modified xsi:type="dcterms:W3CDTF">2026-03-02T14:13:00Z</dcterms:modified>
</cp:coreProperties>
</file>