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4F7" w:rsidRPr="00CE5DBF" w:rsidRDefault="00CE5DBF" w:rsidP="00FC14F7">
      <w:pPr>
        <w:jc w:val="center"/>
        <w:rPr>
          <w:b/>
          <w:u w:val="single"/>
        </w:rPr>
      </w:pPr>
      <w:r>
        <w:rPr>
          <w:b/>
          <w:noProof/>
          <w:sz w:val="24"/>
          <w:szCs w:val="24"/>
          <w:u w:val="single"/>
          <w:lang w:eastAsia="en-GB"/>
        </w:rPr>
        <mc:AlternateContent>
          <mc:Choice Requires="wps">
            <w:drawing>
              <wp:anchor distT="0" distB="0" distL="114300" distR="114300" simplePos="0" relativeHeight="251659264" behindDoc="0" locked="0" layoutInCell="1" allowOverlap="1" wp14:anchorId="38FAB4C6" wp14:editId="04F5D697">
                <wp:simplePos x="0" y="0"/>
                <wp:positionH relativeFrom="column">
                  <wp:posOffset>4792980</wp:posOffset>
                </wp:positionH>
                <wp:positionV relativeFrom="paragraph">
                  <wp:posOffset>-541020</wp:posOffset>
                </wp:positionV>
                <wp:extent cx="1653540" cy="1112520"/>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1653540" cy="1112520"/>
                        </a:xfrm>
                        <a:prstGeom prst="rect">
                          <a:avLst/>
                        </a:prstGeom>
                        <a:solidFill>
                          <a:sysClr val="window" lastClr="FFFFFF"/>
                        </a:solidFill>
                        <a:ln w="6350">
                          <a:noFill/>
                        </a:ln>
                        <a:effectLst/>
                      </wps:spPr>
                      <wps:txbx>
                        <w:txbxContent>
                          <w:p w:rsidR="0073391F" w:rsidRDefault="0073391F" w:rsidP="00CE5DBF">
                            <w:r w:rsidRPr="00CE5DBF">
                              <w:rPr>
                                <w:noProof/>
                                <w:lang w:eastAsia="en-GB"/>
                              </w:rPr>
                              <w:drawing>
                                <wp:inline distT="0" distB="0" distL="0" distR="0" wp14:anchorId="73238080" wp14:editId="340591A2">
                                  <wp:extent cx="1470110" cy="922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0110" cy="922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7.4pt;margin-top:-42.6pt;width:130.2pt;height:8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" fillcolor="window" stroked="f" strokeweight=".5pt">
                <v:textbox>
                  <w:txbxContent>
                    <w:p w:rsidR="0073391F" w:rsidRDefault="0073391F" w:rsidP="00CE5DBF">
                      <w:r w:rsidRPr="00CE5DBF">
                        <w:rPr>
                          <w:noProof/>
                          <w:lang w:eastAsia="en-GB"/>
                        </w:rPr>
                        <w:drawing>
                          <wp:inline distT="0" distB="0" distL="0" distR="0" wp14:anchorId="73238080" wp14:editId="340591A2">
                            <wp:extent cx="1470110" cy="922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0110" cy="922020"/>
                                    </a:xfrm>
                                    <a:prstGeom prst="rect">
                                      <a:avLst/>
                                    </a:prstGeom>
                                    <a:noFill/>
                                    <a:ln>
                                      <a:noFill/>
                                    </a:ln>
                                  </pic:spPr>
                                </pic:pic>
                              </a:graphicData>
                            </a:graphic>
                          </wp:inline>
                        </w:drawing>
                      </w:r>
                    </w:p>
                  </w:txbxContent>
                </v:textbox>
              </v:shape>
            </w:pict>
          </mc:Fallback>
        </mc:AlternateContent>
      </w:r>
      <w:r w:rsidR="00FC14F7" w:rsidRPr="00CE5DBF">
        <w:rPr>
          <w:b/>
          <w:u w:val="single"/>
        </w:rPr>
        <w:t>Western Bay Area Planning Board</w:t>
      </w:r>
    </w:p>
    <w:p w:rsidR="00CE5DBF" w:rsidRDefault="00CE5DBF" w:rsidP="00FC14F7">
      <w:pPr>
        <w:jc w:val="center"/>
        <w:rPr>
          <w:b/>
          <w:u w:val="single"/>
        </w:rPr>
      </w:pPr>
    </w:p>
    <w:p w:rsidR="00FC14F7" w:rsidRDefault="00FC14F7" w:rsidP="00FC14F7">
      <w:pPr>
        <w:jc w:val="center"/>
        <w:rPr>
          <w:b/>
          <w:u w:val="single"/>
        </w:rPr>
      </w:pPr>
      <w:r w:rsidRPr="00CE5DBF">
        <w:rPr>
          <w:b/>
          <w:u w:val="single"/>
        </w:rPr>
        <w:t>Quarter</w:t>
      </w:r>
      <w:r w:rsidR="00F817AD">
        <w:rPr>
          <w:b/>
          <w:u w:val="single"/>
        </w:rPr>
        <w:t>ly Report</w:t>
      </w:r>
      <w:r w:rsidRPr="00CE5DBF">
        <w:rPr>
          <w:b/>
          <w:u w:val="single"/>
        </w:rPr>
        <w:t xml:space="preserve"> 1</w:t>
      </w:r>
      <w:r w:rsidR="00F817AD">
        <w:rPr>
          <w:b/>
          <w:u w:val="single"/>
        </w:rPr>
        <w:t xml:space="preserve">, </w:t>
      </w:r>
      <w:r w:rsidRPr="00CE5DBF">
        <w:rPr>
          <w:b/>
          <w:u w:val="single"/>
        </w:rPr>
        <w:t xml:space="preserve"> April – June 2016</w:t>
      </w:r>
    </w:p>
    <w:p w:rsidR="00681AE6" w:rsidRPr="00CE5DBF" w:rsidRDefault="00681AE6" w:rsidP="00FC14F7">
      <w:pPr>
        <w:jc w:val="center"/>
        <w:rPr>
          <w:b/>
          <w:u w:val="single"/>
        </w:rPr>
      </w:pPr>
      <w:r>
        <w:rPr>
          <w:b/>
          <w:u w:val="single"/>
        </w:rPr>
        <w:t>Presented at APB Meeting 5</w:t>
      </w:r>
      <w:r w:rsidRPr="00681AE6">
        <w:rPr>
          <w:b/>
          <w:u w:val="single"/>
          <w:vertAlign w:val="superscript"/>
        </w:rPr>
        <w:t>th</w:t>
      </w:r>
      <w:r>
        <w:rPr>
          <w:b/>
          <w:u w:val="single"/>
        </w:rPr>
        <w:t xml:space="preserve"> October 2016</w:t>
      </w:r>
    </w:p>
    <w:p w:rsidR="00725131" w:rsidRDefault="00681AE6">
      <w:r>
        <w:t>This Quarterly</w:t>
      </w:r>
      <w:r w:rsidR="00FC14F7" w:rsidRPr="00FC14F7">
        <w:t xml:space="preserve"> report constitute</w:t>
      </w:r>
      <w:r>
        <w:t>s</w:t>
      </w:r>
      <w:r w:rsidR="00FC14F7" w:rsidRPr="00FC14F7">
        <w:t xml:space="preserve"> the primary performance reporti</w:t>
      </w:r>
      <w:r>
        <w:t>ng mechanism to the APB and will be presented to the APB at every meeting.  The report outlines progress of work during the previous quarter and areas for improvement.  This information will form the basis of the annual report which will be presented to the APB at its last meeting of the financial year.</w:t>
      </w:r>
    </w:p>
    <w:p w:rsidR="00BC64FF" w:rsidRPr="00533536" w:rsidRDefault="00BC64FF">
      <w:pPr>
        <w:rPr>
          <w:b/>
          <w:u w:val="single"/>
        </w:rPr>
      </w:pPr>
      <w:r w:rsidRPr="00533536">
        <w:rPr>
          <w:b/>
          <w:u w:val="single"/>
        </w:rPr>
        <w:t>1.</w:t>
      </w:r>
      <w:r w:rsidRPr="00533536">
        <w:rPr>
          <w:b/>
          <w:u w:val="single"/>
        </w:rPr>
        <w:tab/>
        <w:t>Quality and Performance</w:t>
      </w:r>
    </w:p>
    <w:p w:rsidR="00BC64FF" w:rsidRPr="00533536" w:rsidRDefault="00BC64FF" w:rsidP="00BC64FF">
      <w:pPr>
        <w:pStyle w:val="ListParagraph"/>
        <w:numPr>
          <w:ilvl w:val="0"/>
          <w:numId w:val="1"/>
        </w:numPr>
        <w:rPr>
          <w:b/>
        </w:rPr>
      </w:pPr>
      <w:r w:rsidRPr="00533536">
        <w:rPr>
          <w:b/>
        </w:rPr>
        <w:t>Western Bay NKPI Performance Quarter 1</w:t>
      </w:r>
    </w:p>
    <w:p w:rsidR="004725E8" w:rsidRPr="008179E3" w:rsidRDefault="004725E8" w:rsidP="00162229">
      <w:pPr>
        <w:rPr>
          <w:u w:val="single"/>
        </w:rPr>
      </w:pPr>
      <w:r w:rsidRPr="008179E3">
        <w:rPr>
          <w:u w:val="single"/>
        </w:rPr>
        <w:t xml:space="preserve">Overview of KPI 1 </w:t>
      </w:r>
    </w:p>
    <w:p w:rsidR="00162229" w:rsidRDefault="00162229" w:rsidP="00162229">
      <w:r w:rsidRPr="00162229">
        <w:t>To increase the number of clients who engage with services between assessment and planned ending of treatment, by reducing the incidences of clients who do not attend (DNA) or respond to follow up contact post assessment.</w:t>
      </w:r>
    </w:p>
    <w:p w:rsidR="00162229" w:rsidRDefault="00162229" w:rsidP="00162229">
      <w:pPr>
        <w:rPr>
          <w:color w:val="00B050"/>
        </w:rPr>
      </w:pPr>
      <w:r w:rsidRPr="00162229">
        <w:t xml:space="preserve">Target – </w:t>
      </w:r>
      <w:r w:rsidRPr="00162229">
        <w:rPr>
          <w:color w:val="FF0000"/>
        </w:rPr>
        <w:t xml:space="preserve">Red &gt;30%, </w:t>
      </w:r>
      <w:r w:rsidRPr="00162229">
        <w:t xml:space="preserve">Amber </w:t>
      </w:r>
      <w:r w:rsidRPr="00162229">
        <w:rPr>
          <w:color w:val="E36C0A" w:themeColor="accent6" w:themeShade="BF"/>
        </w:rPr>
        <w:t>20.1-29.9%</w:t>
      </w:r>
      <w:r w:rsidRPr="00162229">
        <w:t xml:space="preserve">, Green </w:t>
      </w:r>
      <w:r w:rsidRPr="00162229">
        <w:rPr>
          <w:color w:val="00B050"/>
        </w:rPr>
        <w:t xml:space="preserve">&lt;20% </w:t>
      </w:r>
    </w:p>
    <w:p w:rsidR="008179E3" w:rsidRPr="008179E3" w:rsidRDefault="008179E3" w:rsidP="004725E8">
      <w:pPr>
        <w:rPr>
          <w:u w:val="single"/>
        </w:rPr>
      </w:pPr>
      <w:r w:rsidRPr="008179E3">
        <w:rPr>
          <w:u w:val="single"/>
        </w:rPr>
        <w:t xml:space="preserve">Overview of KPI 2 </w:t>
      </w:r>
    </w:p>
    <w:p w:rsidR="004725E8" w:rsidRDefault="004725E8" w:rsidP="004725E8">
      <w:r>
        <w:t>Achieve a waiting time of less than 20 working days between referral and treatment.</w:t>
      </w:r>
    </w:p>
    <w:p w:rsidR="00162229" w:rsidRDefault="004725E8" w:rsidP="004725E8">
      <w:pPr>
        <w:rPr>
          <w:color w:val="00B050"/>
        </w:rPr>
      </w:pPr>
      <w:r>
        <w:t xml:space="preserve">Target – </w:t>
      </w:r>
      <w:r w:rsidRPr="004725E8">
        <w:rPr>
          <w:color w:val="FF0000"/>
        </w:rPr>
        <w:t>Red &lt;70%</w:t>
      </w:r>
      <w:r>
        <w:t xml:space="preserve">, Amber </w:t>
      </w:r>
      <w:r w:rsidRPr="004725E8">
        <w:rPr>
          <w:color w:val="F79646" w:themeColor="accent6"/>
        </w:rPr>
        <w:t>70.1-79.9%</w:t>
      </w:r>
      <w:r>
        <w:t xml:space="preserve">, Green </w:t>
      </w:r>
      <w:r w:rsidRPr="004725E8">
        <w:rPr>
          <w:color w:val="00B050"/>
        </w:rPr>
        <w:t>&gt;80%.</w:t>
      </w:r>
    </w:p>
    <w:p w:rsidR="008179E3" w:rsidRDefault="004725E8" w:rsidP="004725E8">
      <w:pPr>
        <w:rPr>
          <w:bCs/>
        </w:rPr>
      </w:pPr>
      <w:bookmarkStart w:id="0" w:name="_Toc456958253"/>
      <w:r w:rsidRPr="008179E3">
        <w:rPr>
          <w:bCs/>
          <w:u w:val="single"/>
        </w:rPr>
        <w:t>Overview of KPI 3</w:t>
      </w:r>
      <w:r w:rsidR="008179E3">
        <w:rPr>
          <w:bCs/>
        </w:rPr>
        <w:t xml:space="preserve"> </w:t>
      </w:r>
    </w:p>
    <w:p w:rsidR="004725E8" w:rsidRPr="004725E8" w:rsidRDefault="004725E8" w:rsidP="004725E8">
      <w:pPr>
        <w:rPr>
          <w:bCs/>
        </w:rPr>
      </w:pPr>
      <w:r w:rsidRPr="004725E8">
        <w:rPr>
          <w:bCs/>
        </w:rPr>
        <w:t>Substance Misuse is reduced for problematic substances between start and most recent review / exit TOP.</w:t>
      </w:r>
      <w:bookmarkEnd w:id="0"/>
    </w:p>
    <w:p w:rsidR="004725E8" w:rsidRPr="004725E8" w:rsidRDefault="004725E8" w:rsidP="004725E8">
      <w:r w:rsidRPr="004725E8">
        <w:t>Target – Achievement to show continual improvement against own baseline and adherence to the Welsh benchmark figure:</w:t>
      </w:r>
    </w:p>
    <w:p w:rsidR="004725E8" w:rsidRPr="004725E8" w:rsidRDefault="004725E8" w:rsidP="004725E8">
      <w:r w:rsidRPr="004725E8">
        <w:t>(</w:t>
      </w:r>
      <w:r w:rsidRPr="004725E8">
        <w:rPr>
          <w:b/>
        </w:rPr>
        <w:t>73.7%</w:t>
      </w:r>
      <w:r w:rsidRPr="004725E8">
        <w:t xml:space="preserve"> in 2014/15 management information data) </w:t>
      </w:r>
    </w:p>
    <w:p w:rsidR="004725E8" w:rsidRPr="004725E8" w:rsidRDefault="004725E8" w:rsidP="004725E8">
      <w:r w:rsidRPr="004725E8">
        <w:t>RAG ratings based according to movement against the established baseline (</w:t>
      </w:r>
      <w:r w:rsidRPr="004725E8">
        <w:rPr>
          <w:b/>
          <w:color w:val="FF0000"/>
        </w:rPr>
        <w:t>RED</w:t>
      </w:r>
      <w:r w:rsidRPr="004725E8">
        <w:t xml:space="preserve">, &lt; baseline; </w:t>
      </w:r>
      <w:r w:rsidRPr="004725E8">
        <w:rPr>
          <w:b/>
          <w:color w:val="F79646" w:themeColor="accent6"/>
        </w:rPr>
        <w:t>AMBER</w:t>
      </w:r>
      <w:r w:rsidRPr="004725E8">
        <w:t xml:space="preserve"> &lt; baseline but an improving picture; </w:t>
      </w:r>
      <w:r w:rsidRPr="004725E8">
        <w:rPr>
          <w:b/>
          <w:color w:val="00B050"/>
        </w:rPr>
        <w:t>GREEN</w:t>
      </w:r>
      <w:r w:rsidRPr="004725E8">
        <w:t xml:space="preserve"> &gt; baseline). </w:t>
      </w:r>
    </w:p>
    <w:p w:rsidR="008179E3" w:rsidRDefault="004725E8" w:rsidP="004725E8">
      <w:r w:rsidRPr="008179E3">
        <w:rPr>
          <w:u w:val="single"/>
        </w:rPr>
        <w:t xml:space="preserve">Overview of KPI </w:t>
      </w:r>
      <w:r w:rsidR="008179E3" w:rsidRPr="008179E3">
        <w:rPr>
          <w:u w:val="single"/>
        </w:rPr>
        <w:t>4</w:t>
      </w:r>
      <w:r w:rsidR="008179E3">
        <w:t xml:space="preserve">  </w:t>
      </w:r>
    </w:p>
    <w:p w:rsidR="004725E8" w:rsidRDefault="004725E8" w:rsidP="004725E8">
      <w:r>
        <w:t>Quality of Life is improved between start and most recent review / exit TOP.</w:t>
      </w:r>
    </w:p>
    <w:p w:rsidR="004725E8" w:rsidRDefault="004725E8" w:rsidP="004725E8">
      <w:r>
        <w:t>Target – Achievement to show continual improvement against own baseline and adherence to the Welsh benchmark figure:</w:t>
      </w:r>
    </w:p>
    <w:p w:rsidR="004725E8" w:rsidRDefault="004725E8" w:rsidP="004725E8">
      <w:r>
        <w:t xml:space="preserve">(56.9% in 2014/15 management information data) </w:t>
      </w:r>
    </w:p>
    <w:p w:rsidR="004725E8" w:rsidRDefault="004725E8" w:rsidP="004725E8">
      <w:r>
        <w:t>RAG ratings based according to movement against the established baseline (</w:t>
      </w:r>
      <w:r w:rsidRPr="008179E3">
        <w:rPr>
          <w:color w:val="FF0000"/>
        </w:rPr>
        <w:t>RED</w:t>
      </w:r>
      <w:r>
        <w:t xml:space="preserve">, &lt; baseline; </w:t>
      </w:r>
      <w:r w:rsidRPr="008179E3">
        <w:rPr>
          <w:color w:val="E36C0A" w:themeColor="accent6" w:themeShade="BF"/>
        </w:rPr>
        <w:t>AMBER</w:t>
      </w:r>
      <w:r>
        <w:t xml:space="preserve"> &lt; baseline but an improving picture; </w:t>
      </w:r>
      <w:r w:rsidRPr="008179E3">
        <w:rPr>
          <w:color w:val="00B050"/>
        </w:rPr>
        <w:t>GREEN</w:t>
      </w:r>
      <w:r>
        <w:t xml:space="preserve">, &gt; baseline). </w:t>
      </w:r>
    </w:p>
    <w:p w:rsidR="008179E3" w:rsidRDefault="008179E3" w:rsidP="008179E3">
      <w:r w:rsidRPr="008179E3">
        <w:rPr>
          <w:u w:val="single"/>
        </w:rPr>
        <w:t>Overview of KPI 5</w:t>
      </w:r>
      <w:r>
        <w:t xml:space="preserve"> </w:t>
      </w:r>
    </w:p>
    <w:p w:rsidR="008179E3" w:rsidRDefault="008179E3" w:rsidP="008179E3">
      <w:r>
        <w:t>No. / % of cases closed (with a treatment date) as treatment completed.</w:t>
      </w:r>
    </w:p>
    <w:p w:rsidR="008179E3" w:rsidRDefault="008179E3" w:rsidP="008179E3">
      <w:r>
        <w:t>Target – Achievement to show continual improvement against own baseline and adherence to the Welsh benchmark figure:</w:t>
      </w:r>
    </w:p>
    <w:p w:rsidR="008179E3" w:rsidRDefault="008179E3" w:rsidP="008179E3">
      <w:r>
        <w:t xml:space="preserve">(67.1% in 2014/15 management information data) </w:t>
      </w:r>
    </w:p>
    <w:p w:rsidR="008179E3" w:rsidRDefault="008179E3" w:rsidP="008179E3">
      <w:r>
        <w:t xml:space="preserve">RAG ratings based according to movement against the established baseline </w:t>
      </w:r>
      <w:r w:rsidRPr="008179E3">
        <w:rPr>
          <w:color w:val="FF0000"/>
        </w:rPr>
        <w:t>(RED</w:t>
      </w:r>
      <w:r>
        <w:t xml:space="preserve">, &lt; baseline; AMBER &lt;baseline but an improving picture; </w:t>
      </w:r>
      <w:r w:rsidRPr="008179E3">
        <w:rPr>
          <w:color w:val="00B050"/>
        </w:rPr>
        <w:t>GREEN</w:t>
      </w:r>
      <w:r>
        <w:t xml:space="preserve">, &gt; baseline). </w:t>
      </w:r>
    </w:p>
    <w:p w:rsidR="008179E3" w:rsidRPr="008179E3" w:rsidRDefault="008179E3" w:rsidP="004725E8">
      <w:pPr>
        <w:rPr>
          <w:b/>
          <w:u w:val="single"/>
        </w:rPr>
      </w:pPr>
      <w:r w:rsidRPr="008179E3">
        <w:rPr>
          <w:b/>
          <w:u w:val="single"/>
        </w:rPr>
        <w:t>KPI Performance Figures Quarter 1 2016</w:t>
      </w:r>
    </w:p>
    <w:p w:rsidR="00162229" w:rsidRDefault="00162229" w:rsidP="00162229">
      <w:r>
        <w:rPr>
          <w:rFonts w:ascii="Arial" w:hAnsi="Arial" w:cs="Arial"/>
          <w:bCs/>
          <w:noProof/>
          <w:color w:val="000000"/>
          <w:sz w:val="24"/>
          <w:szCs w:val="24"/>
          <w:lang w:eastAsia="en-GB"/>
        </w:rPr>
        <w:drawing>
          <wp:inline distT="0" distB="0" distL="0" distR="0" wp14:anchorId="66361D58" wp14:editId="4510A58A">
            <wp:extent cx="5638800" cy="4095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800" cy="4095750"/>
                    </a:xfrm>
                    <a:prstGeom prst="rect">
                      <a:avLst/>
                    </a:prstGeom>
                    <a:noFill/>
                    <a:ln>
                      <a:noFill/>
                    </a:ln>
                  </pic:spPr>
                </pic:pic>
              </a:graphicData>
            </a:graphic>
          </wp:inline>
        </w:drawing>
      </w:r>
    </w:p>
    <w:p w:rsidR="00162229" w:rsidRPr="00533536" w:rsidRDefault="00162229" w:rsidP="00162229">
      <w:pPr>
        <w:pStyle w:val="ListParagraph"/>
        <w:numPr>
          <w:ilvl w:val="0"/>
          <w:numId w:val="1"/>
        </w:numPr>
        <w:rPr>
          <w:b/>
        </w:rPr>
      </w:pPr>
      <w:r w:rsidRPr="00533536">
        <w:rPr>
          <w:b/>
        </w:rPr>
        <w:t>Alert to those indicators with declining performance levels</w:t>
      </w:r>
    </w:p>
    <w:p w:rsidR="00162229" w:rsidRDefault="00666B72" w:rsidP="00162229">
      <w:r>
        <w:t xml:space="preserve">Over the past year it appears that Western Bay is continually failing on KPIs 1 and 5.   This seems to be the case </w:t>
      </w:r>
      <w:r w:rsidR="00162229">
        <w:t>again this month</w:t>
      </w:r>
      <w:r>
        <w:t xml:space="preserve"> along with a red status on KPI 3</w:t>
      </w:r>
      <w:r w:rsidR="0002729D">
        <w:t xml:space="preserve"> also</w:t>
      </w:r>
      <w:r>
        <w:t xml:space="preserve">.  </w:t>
      </w:r>
      <w:r w:rsidR="00162229">
        <w:t>For Quarter 1 and year to date, we are only achieving KPI2 and KPI4</w:t>
      </w:r>
    </w:p>
    <w:p w:rsidR="00162229" w:rsidRDefault="00162229" w:rsidP="00162229">
      <w:r>
        <w:t>•</w:t>
      </w:r>
      <w:r>
        <w:tab/>
        <w:t xml:space="preserve">On KPI 1 we have improved slightly on this time last month however we remain down on </w:t>
      </w:r>
      <w:r w:rsidR="00666B72">
        <w:tab/>
      </w:r>
      <w:r>
        <w:t>this time last year.</w:t>
      </w:r>
    </w:p>
    <w:p w:rsidR="00162229" w:rsidRDefault="00162229" w:rsidP="00162229">
      <w:r>
        <w:t>•</w:t>
      </w:r>
      <w:r>
        <w:tab/>
        <w:t xml:space="preserve">On KPI 3, we are down on last month, and also way down on this time last year when we </w:t>
      </w:r>
      <w:r w:rsidR="00666B72">
        <w:tab/>
      </w:r>
      <w:r>
        <w:t>were actually achieving this KPI, currently</w:t>
      </w:r>
      <w:r w:rsidR="00666B72">
        <w:t xml:space="preserve"> within Western Bay</w:t>
      </w:r>
      <w:r>
        <w:t xml:space="preserve"> only the Swansea area is </w:t>
      </w:r>
      <w:r w:rsidR="00666B72">
        <w:tab/>
      </w:r>
      <w:r>
        <w:t xml:space="preserve">achieving the target, but looking at the figures for the completion of this TOP data across the </w:t>
      </w:r>
      <w:r w:rsidR="00666B72">
        <w:tab/>
      </w:r>
      <w:r>
        <w:t xml:space="preserve">APB Area </w:t>
      </w:r>
      <w:r w:rsidR="00C16A58">
        <w:t xml:space="preserve">it </w:t>
      </w:r>
      <w:r>
        <w:t xml:space="preserve">is low in comparison with the rest of Wales, with </w:t>
      </w:r>
      <w:r w:rsidR="00666B72">
        <w:t>Western Bay</w:t>
      </w:r>
      <w:r>
        <w:t xml:space="preserve"> having completed </w:t>
      </w:r>
      <w:r w:rsidR="00666B72">
        <w:tab/>
      </w:r>
      <w:r>
        <w:t>129 TOP and other areas completing up to 1029.</w:t>
      </w:r>
    </w:p>
    <w:p w:rsidR="00162229" w:rsidRDefault="00162229" w:rsidP="00162229">
      <w:r>
        <w:t>•</w:t>
      </w:r>
      <w:r>
        <w:tab/>
        <w:t xml:space="preserve">KPI 5, is once again missed considerably, however performance has improved on last month </w:t>
      </w:r>
      <w:r w:rsidR="00666B72">
        <w:tab/>
      </w:r>
      <w:r>
        <w:t>by 8%.  We are also down 2% on this time last year.</w:t>
      </w:r>
    </w:p>
    <w:p w:rsidR="001030FE" w:rsidRDefault="001030FE" w:rsidP="001030FE">
      <w:r>
        <w:t xml:space="preserve">Although there is a perception that Wester Bay is failing to meet targets for KPI1 and KPI5 it should be borne in mind that when comparing figures, NEWID Cymru is the only Agency in wales that submits data for a client record and not a referral record, this may mean that in some APB areas where more than one agency is working with a client. That client may be counted more than once by an agency as they work with the client.  This results in an artificial inflation of client figures.  In NEWID Cymru a single Client record/referral is generated, regardless of how many agencies are working with the individual (PSALT and DIP are separately reported in this area). This means that in the Western Bay area, what we report is an actual reflection of clients that are being seen across the APB. </w:t>
      </w:r>
    </w:p>
    <w:p w:rsidR="001030FE" w:rsidRDefault="001030FE" w:rsidP="001030FE">
      <w:r>
        <w:t>We will submit a “Closure” record for the final entry on a client’s record; regardless of how many of our Service Providers have been involved. Every other area in Wales will Submit a separate Closure record for each AGENCY involved, again making it impossible for us to be compared (using Intervention closures as outlines below work be more equitable).  As each agency adds a closure reason to each intervention and these are reported to Welsh government.</w:t>
      </w:r>
    </w:p>
    <w:p w:rsidR="001030FE" w:rsidRDefault="001030FE" w:rsidP="001030FE">
      <w:r>
        <w:t xml:space="preserve">It must also be noted that in Western Bay APB area an open door policy is accepting any </w:t>
      </w:r>
      <w:r>
        <w:tab/>
        <w:t xml:space="preserve">client into services, the DNA rates may appear high than anywhere else in Wales as a result. Most if not all other APB areas screen clients and only accept those that met certain criteria, for specialist services.   This may be why we are not meeting KPIS’s 1 and 5, as we are operating a different service specification to the rest of Wales. </w:t>
      </w:r>
    </w:p>
    <w:p w:rsidR="001030FE" w:rsidRDefault="001030FE" w:rsidP="001030FE">
      <w:r>
        <w:t>The range of interventions that we offer instant access to is also much wider than the rest of Wales, and therefore it is difficult to compare our figures like for like with other APB areas.</w:t>
      </w:r>
    </w:p>
    <w:p w:rsidR="001030FE" w:rsidRPr="001030FE" w:rsidRDefault="001030FE" w:rsidP="001030FE">
      <w:pPr>
        <w:rPr>
          <w:u w:val="single"/>
        </w:rPr>
      </w:pPr>
      <w:r w:rsidRPr="001030FE">
        <w:rPr>
          <w:u w:val="single"/>
        </w:rPr>
        <w:t xml:space="preserve">Possible reasons as to why Western Bay is continually failing on KPI1 and KPI5 </w:t>
      </w:r>
    </w:p>
    <w:p w:rsidR="001030FE" w:rsidRDefault="001030FE" w:rsidP="001030FE">
      <w:r>
        <w:t xml:space="preserve">In addition to the reasons listed above the calculation used to measure DNAs for the NKPI does not give a true reflection of the closures and client numbers. Currently it is calculated as the number of DNAs reported that month as a percentage of the total number of closures reported during that month (so if there are 4 closures that month and 2 are due to DNA, that </w:t>
      </w:r>
      <w:r>
        <w:tab/>
        <w:t>equates to 50%). It would be better measured as a percentage of all current clients, or alternatively if it were calculated as a percentage of just clients currently in treatment.  If this method could be adopted Western Bay would rank first in Wales for both KPIs.</w:t>
      </w:r>
    </w:p>
    <w:p w:rsidR="00C16A58" w:rsidRDefault="00162229" w:rsidP="00C16A58">
      <w:pPr>
        <w:pStyle w:val="ListParagraph"/>
        <w:numPr>
          <w:ilvl w:val="0"/>
          <w:numId w:val="1"/>
        </w:numPr>
        <w:rPr>
          <w:b/>
        </w:rPr>
      </w:pPr>
      <w:r w:rsidRPr="00533536">
        <w:rPr>
          <w:b/>
        </w:rPr>
        <w:t>Monitoring progress against indicators for which performance improvement actions are underway</w:t>
      </w:r>
    </w:p>
    <w:p w:rsidR="00CE1AF0" w:rsidRDefault="00C16A58" w:rsidP="00CE1AF0">
      <w:r w:rsidRPr="00C16A58">
        <w:t xml:space="preserve">The APB team has met with WG to discuss the issues </w:t>
      </w:r>
      <w:r>
        <w:t xml:space="preserve">listed above that is resulting in an unrepresentative figure being reported and has suggested that they consider reviewing the method of calculating the measuring of DNAs and possibly creating a new KPI </w:t>
      </w:r>
      <w:r w:rsidR="00CE1AF0">
        <w:t>along the lines of ‘</w:t>
      </w:r>
      <w:r w:rsidR="00CE1AF0" w:rsidRPr="00CE1AF0">
        <w:t>no. of care plans closed successfully as treatment complete</w:t>
      </w:r>
      <w:r w:rsidR="00CE1AF0">
        <w:t xml:space="preserve">’.  WG has promised to consider our proposals via the DIAB working group.  </w:t>
      </w:r>
    </w:p>
    <w:p w:rsidR="00C16A58" w:rsidRPr="00C16A58" w:rsidRDefault="00CE1AF0" w:rsidP="00CE1AF0">
      <w:r>
        <w:t>In the meantime t</w:t>
      </w:r>
      <w:r w:rsidR="00C16A58" w:rsidRPr="00C16A58">
        <w:t>he KPI Sub Group has implemented a number of initiatives to try to improve the performance of KPIs 1 and 5</w:t>
      </w:r>
      <w:r w:rsidR="00F817AD">
        <w:t>:</w:t>
      </w:r>
    </w:p>
    <w:p w:rsidR="00C16A58" w:rsidRDefault="00C16A58" w:rsidP="00C16A58">
      <w:pPr>
        <w:pStyle w:val="ListParagraph"/>
        <w:numPr>
          <w:ilvl w:val="0"/>
          <w:numId w:val="2"/>
        </w:numPr>
      </w:pPr>
      <w:r w:rsidRPr="00C16A58">
        <w:t>A text pilot to try and reduce the numbers of DNA’s</w:t>
      </w:r>
    </w:p>
    <w:p w:rsidR="00F817AD" w:rsidRDefault="00F817AD" w:rsidP="00F817AD">
      <w:pPr>
        <w:pStyle w:val="ListParagraph"/>
        <w:numPr>
          <w:ilvl w:val="0"/>
          <w:numId w:val="2"/>
        </w:numPr>
      </w:pPr>
      <w:r>
        <w:t xml:space="preserve">On a telephone call, staff are to ask the service user to recite back verbally the day and the time of the appointment before the end of the call. </w:t>
      </w:r>
    </w:p>
    <w:p w:rsidR="00F817AD" w:rsidRDefault="00F817AD" w:rsidP="00F817AD">
      <w:pPr>
        <w:pStyle w:val="ListParagraph"/>
        <w:numPr>
          <w:ilvl w:val="0"/>
          <w:numId w:val="2"/>
        </w:numPr>
      </w:pPr>
      <w:r>
        <w:t xml:space="preserve">Providing the service user with an appointment card and asking them to fill in their appointment details on the card themselves. </w:t>
      </w:r>
    </w:p>
    <w:p w:rsidR="00F817AD" w:rsidRPr="00C16A58" w:rsidRDefault="00F817AD" w:rsidP="00F817AD">
      <w:pPr>
        <w:pStyle w:val="ListParagraph"/>
        <w:numPr>
          <w:ilvl w:val="0"/>
          <w:numId w:val="2"/>
        </w:numPr>
      </w:pPr>
      <w:r>
        <w:t>Replacing posters highlighting the number of missing appointment</w:t>
      </w:r>
      <w:r w:rsidR="007B4AC5">
        <w:t xml:space="preserve">s </w:t>
      </w:r>
      <w:r>
        <w:t>and showing the service users that turn up on time.</w:t>
      </w:r>
    </w:p>
    <w:p w:rsidR="00C16A58" w:rsidRPr="00C16A58" w:rsidRDefault="00C16A58" w:rsidP="00C16A58">
      <w:pPr>
        <w:pStyle w:val="ListParagraph"/>
        <w:numPr>
          <w:ilvl w:val="0"/>
          <w:numId w:val="2"/>
        </w:numPr>
      </w:pPr>
      <w:r w:rsidRPr="00C16A58">
        <w:t>Contacting the other APB’s to see how they have tackled these issues</w:t>
      </w:r>
    </w:p>
    <w:p w:rsidR="00C16A58" w:rsidRPr="00C16A58" w:rsidRDefault="00C16A58" w:rsidP="00C16A58">
      <w:pPr>
        <w:pStyle w:val="ListParagraph"/>
        <w:numPr>
          <w:ilvl w:val="0"/>
          <w:numId w:val="2"/>
        </w:numPr>
      </w:pPr>
      <w:r w:rsidRPr="00C16A58">
        <w:t>Regularly producing reports on performance</w:t>
      </w:r>
    </w:p>
    <w:p w:rsidR="00C16A58" w:rsidRPr="00C16A58" w:rsidRDefault="00C16A58" w:rsidP="00C16A58">
      <w:pPr>
        <w:pStyle w:val="ListParagraph"/>
        <w:numPr>
          <w:ilvl w:val="0"/>
          <w:numId w:val="2"/>
        </w:numPr>
      </w:pPr>
      <w:r w:rsidRPr="00C16A58">
        <w:t>Regular KPI and Data Information Sub-group meetings</w:t>
      </w:r>
    </w:p>
    <w:p w:rsidR="00C16A58" w:rsidRPr="00C16A58" w:rsidRDefault="00C16A58" w:rsidP="00C16A58">
      <w:pPr>
        <w:pStyle w:val="ListParagraph"/>
        <w:numPr>
          <w:ilvl w:val="0"/>
          <w:numId w:val="2"/>
        </w:numPr>
      </w:pPr>
      <w:r w:rsidRPr="00C16A58">
        <w:t>Introduced a new discharge letter across NEWID Services</w:t>
      </w:r>
    </w:p>
    <w:p w:rsidR="00C16A58" w:rsidRPr="00C16A58" w:rsidRDefault="00C16A58" w:rsidP="00C16A58">
      <w:pPr>
        <w:pStyle w:val="ListParagraph"/>
        <w:numPr>
          <w:ilvl w:val="0"/>
          <w:numId w:val="2"/>
        </w:numPr>
      </w:pPr>
      <w:r w:rsidRPr="00C16A58">
        <w:t>Regularly producing reports on gaps within Paris to aid services in closing those gaps</w:t>
      </w:r>
    </w:p>
    <w:p w:rsidR="00C16A58" w:rsidRPr="00C16A58" w:rsidRDefault="00C16A58" w:rsidP="00C16A58">
      <w:pPr>
        <w:pStyle w:val="ListParagraph"/>
        <w:numPr>
          <w:ilvl w:val="0"/>
          <w:numId w:val="2"/>
        </w:numPr>
      </w:pPr>
      <w:r w:rsidRPr="00C16A58">
        <w:t>Included KPI’s and gaps within Paris in our quarterly monitoring of service providers</w:t>
      </w:r>
    </w:p>
    <w:p w:rsidR="00CE1AF0" w:rsidRDefault="00CE1AF0" w:rsidP="00C16A58">
      <w:pPr>
        <w:pStyle w:val="ListParagraph"/>
        <w:ind w:left="360"/>
      </w:pPr>
    </w:p>
    <w:p w:rsidR="00C16A58" w:rsidRPr="00C16A58" w:rsidRDefault="00C16A58" w:rsidP="00CE1AF0">
      <w:pPr>
        <w:pStyle w:val="ListParagraph"/>
        <w:ind w:left="0"/>
      </w:pPr>
      <w:r>
        <w:t>The following initiatives are also currently under consideration:</w:t>
      </w:r>
    </w:p>
    <w:p w:rsidR="00C16A58" w:rsidRPr="00C16A58" w:rsidRDefault="00C16A58" w:rsidP="00C16A58">
      <w:pPr>
        <w:pStyle w:val="ListParagraph"/>
      </w:pPr>
    </w:p>
    <w:p w:rsidR="00C16A58" w:rsidRPr="00C16A58" w:rsidRDefault="00C16A58" w:rsidP="00C16A58">
      <w:pPr>
        <w:pStyle w:val="ListParagraph"/>
        <w:numPr>
          <w:ilvl w:val="0"/>
          <w:numId w:val="3"/>
        </w:numPr>
      </w:pPr>
      <w:r w:rsidRPr="00C16A58">
        <w:t>Implementing  a 3 simple behaviour interventions approach</w:t>
      </w:r>
    </w:p>
    <w:p w:rsidR="00C16A58" w:rsidRPr="00C16A58" w:rsidRDefault="00C16A58" w:rsidP="00C16A58">
      <w:pPr>
        <w:pStyle w:val="ListParagraph"/>
        <w:numPr>
          <w:ilvl w:val="0"/>
          <w:numId w:val="3"/>
        </w:numPr>
      </w:pPr>
      <w:r w:rsidRPr="00C16A58">
        <w:t>Provide more appointments on Mondays for people within the first 90 days of treatment.</w:t>
      </w:r>
    </w:p>
    <w:p w:rsidR="00C16A58" w:rsidRPr="00C16A58" w:rsidRDefault="00C16A58" w:rsidP="00C16A58">
      <w:pPr>
        <w:pStyle w:val="ListParagraph"/>
        <w:numPr>
          <w:ilvl w:val="0"/>
          <w:numId w:val="3"/>
        </w:numPr>
      </w:pPr>
      <w:r w:rsidRPr="00C16A58">
        <w:t>Possible develop rolling programmes with suggestions for service users to attend (no fixed appointments)</w:t>
      </w:r>
    </w:p>
    <w:p w:rsidR="00C16A58" w:rsidRPr="00C16A58" w:rsidRDefault="00C16A58" w:rsidP="00C16A58">
      <w:pPr>
        <w:pStyle w:val="ListParagraph"/>
        <w:numPr>
          <w:ilvl w:val="0"/>
          <w:numId w:val="3"/>
        </w:numPr>
      </w:pPr>
      <w:r w:rsidRPr="00C16A58">
        <w:t>Additional support to service users who have been identified with memory problems.</w:t>
      </w:r>
    </w:p>
    <w:p w:rsidR="00C16A58" w:rsidRDefault="00C16A58" w:rsidP="00C16A58">
      <w:pPr>
        <w:pStyle w:val="ListParagraph"/>
        <w:numPr>
          <w:ilvl w:val="0"/>
          <w:numId w:val="3"/>
        </w:numPr>
      </w:pPr>
      <w:r w:rsidRPr="00C16A58">
        <w:t xml:space="preserve">Staff supporting and possibly accompany the service user on first appointments. </w:t>
      </w:r>
    </w:p>
    <w:p w:rsidR="00F817AD" w:rsidRPr="00C16A58" w:rsidRDefault="00F817AD" w:rsidP="00C16A58">
      <w:pPr>
        <w:pStyle w:val="ListParagraph"/>
        <w:numPr>
          <w:ilvl w:val="0"/>
          <w:numId w:val="3"/>
        </w:numPr>
      </w:pPr>
      <w:r>
        <w:t xml:space="preserve">Agencies </w:t>
      </w:r>
      <w:r w:rsidR="0002729D">
        <w:t>to work</w:t>
      </w:r>
      <w:r>
        <w:t xml:space="preserve"> with client to </w:t>
      </w:r>
      <w:r w:rsidR="0002729D">
        <w:t>complete a post card outlining the reasons why they have attended and what they want to achieve. This post card would then be sent to the client by the agency once the client has DNA’d in an attempt to re-motivate the client to come back to service.</w:t>
      </w:r>
    </w:p>
    <w:p w:rsidR="00C16A58" w:rsidRPr="00C16A58" w:rsidRDefault="00C16A58" w:rsidP="00C16A58">
      <w:pPr>
        <w:pStyle w:val="ListParagraph"/>
        <w:numPr>
          <w:ilvl w:val="0"/>
          <w:numId w:val="3"/>
        </w:numPr>
      </w:pPr>
      <w:r w:rsidRPr="00C16A58">
        <w:t xml:space="preserve">More pre-treatment work undertaken e.g. outlining expectations prior treatment engagement. </w:t>
      </w:r>
    </w:p>
    <w:p w:rsidR="00CE1AF0" w:rsidRDefault="00C16A58" w:rsidP="00533536">
      <w:pPr>
        <w:pStyle w:val="ListParagraph"/>
        <w:numPr>
          <w:ilvl w:val="0"/>
          <w:numId w:val="3"/>
        </w:numPr>
      </w:pPr>
      <w:r w:rsidRPr="00C16A58">
        <w:t xml:space="preserve">Possible motivation groups to attend prior assessments/treatment (rolling groups open to all). </w:t>
      </w:r>
    </w:p>
    <w:p w:rsidR="00CE1AF0" w:rsidRDefault="00CE1AF0" w:rsidP="00CE1AF0">
      <w:r>
        <w:t>The KPI group will monitor the progress of these initiatives to see if any significant improvement has been made with the quarterly data.</w:t>
      </w:r>
    </w:p>
    <w:p w:rsidR="009411F0" w:rsidRDefault="00CE1AF0" w:rsidP="007B4AC5">
      <w:r>
        <w:t xml:space="preserve">In relation to KPI 3 the PARIS data manager had recently carried out an exercise around the TOPS data held on the system.  The conclusion being that there are 1158 Clients on the system that require that a TOP be completed.  Of these there are 634 that have had no TOP (55%). The overall Total of missing or late TOPs is 727 equalling 63% of all cases that we should be reporting TOP on (or only 37% compliance).  If these were all completed Western Bay would actually be achieving KPI3.  All agencies have been provided with a full breakdown of clients with a missing TOP and details of the staff responsible for ensuring that these are completed.  Agencies are expected to ensure that all data on the PARIS system is up to date. </w:t>
      </w:r>
    </w:p>
    <w:p w:rsidR="007B4AC5" w:rsidRPr="00AF3A33" w:rsidRDefault="007B4AC5" w:rsidP="007B4AC5">
      <w:pPr>
        <w:rPr>
          <w:b/>
          <w:u w:val="single"/>
        </w:rPr>
      </w:pPr>
      <w:r w:rsidRPr="00AF3A33">
        <w:rPr>
          <w:b/>
          <w:u w:val="single"/>
        </w:rPr>
        <w:t>2.</w:t>
      </w:r>
      <w:r w:rsidRPr="00AF3A33">
        <w:rPr>
          <w:b/>
          <w:u w:val="single"/>
        </w:rPr>
        <w:tab/>
        <w:t>Sub Groups</w:t>
      </w:r>
    </w:p>
    <w:p w:rsidR="007B4AC5" w:rsidRDefault="007B4AC5" w:rsidP="007B4AC5">
      <w:pPr>
        <w:pStyle w:val="ListParagraph"/>
        <w:numPr>
          <w:ilvl w:val="0"/>
          <w:numId w:val="7"/>
        </w:numPr>
        <w:rPr>
          <w:b/>
        </w:rPr>
      </w:pPr>
      <w:r w:rsidRPr="00AF3A33">
        <w:rPr>
          <w:b/>
        </w:rPr>
        <w:t xml:space="preserve">Audit of Register of Attendance </w:t>
      </w:r>
    </w:p>
    <w:bookmarkStart w:id="1" w:name="_MON_1535373387"/>
    <w:bookmarkEnd w:id="1"/>
    <w:p w:rsidR="00A000FB" w:rsidRDefault="00C92CFC" w:rsidP="00C92CFC">
      <w:r>
        <w:rPr>
          <w:b/>
        </w:rPr>
        <w:object w:dxaOrig="1513"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pt" o:ole="">
            <v:imagedata r:id="rId11" o:title=""/>
          </v:shape>
          <o:OLEObject Type="Embed" ProgID="Word.Document.12" ShapeID="_x0000_i1025" DrawAspect="Icon" ObjectID="_1540804314" r:id="rId12">
            <o:FieldCodes>\s</o:FieldCodes>
          </o:OLEObject>
        </w:object>
      </w:r>
      <w:r w:rsidR="00A000FB">
        <w:t xml:space="preserve"> </w:t>
      </w:r>
    </w:p>
    <w:p w:rsidR="00C92CFC" w:rsidRDefault="00C92CFC" w:rsidP="00C92CFC">
      <w:r>
        <w:t>The attached record shows no issues with attendance of sub group meetings over the last quarter.  Where members have not been able to attend an alternate has attended in their place.  The APB team will continue to monitor attendance to ensure that all agencies are represented at the relevant meetings.</w:t>
      </w:r>
    </w:p>
    <w:p w:rsidR="007B4AC5" w:rsidRPr="00AF3A33" w:rsidRDefault="007B4AC5" w:rsidP="007B4AC5">
      <w:pPr>
        <w:pStyle w:val="ListParagraph"/>
        <w:numPr>
          <w:ilvl w:val="0"/>
          <w:numId w:val="7"/>
        </w:numPr>
        <w:rPr>
          <w:b/>
        </w:rPr>
      </w:pPr>
      <w:r w:rsidRPr="00AF3A33">
        <w:rPr>
          <w:b/>
        </w:rPr>
        <w:t>Audit of actions taken under code of conduct breaches</w:t>
      </w:r>
    </w:p>
    <w:p w:rsidR="007B4AC5" w:rsidRDefault="007B4AC5" w:rsidP="007B4AC5">
      <w:pPr>
        <w:pStyle w:val="ListParagraph"/>
      </w:pPr>
      <w:r>
        <w:t>There have been no breaches under the code of conduct this quarter.</w:t>
      </w:r>
    </w:p>
    <w:p w:rsidR="00AF3A33" w:rsidRPr="007B4AC5" w:rsidRDefault="00AF3A33" w:rsidP="007B4AC5">
      <w:pPr>
        <w:pStyle w:val="ListParagraph"/>
      </w:pPr>
    </w:p>
    <w:p w:rsidR="00AF3A33" w:rsidRDefault="00AF3A33" w:rsidP="00AF3A33">
      <w:pPr>
        <w:pStyle w:val="ListParagraph"/>
        <w:numPr>
          <w:ilvl w:val="0"/>
          <w:numId w:val="7"/>
        </w:numPr>
        <w:rPr>
          <w:b/>
        </w:rPr>
      </w:pPr>
      <w:r w:rsidRPr="00AF3A33">
        <w:rPr>
          <w:b/>
        </w:rPr>
        <w:t>Update on progress of Sub Group Work Plans and summary of achievements within quarter</w:t>
      </w:r>
    </w:p>
    <w:p w:rsidR="00AF3A33" w:rsidRDefault="00AF3A33" w:rsidP="00AF3A33">
      <w:pPr>
        <w:rPr>
          <w:b/>
        </w:rPr>
      </w:pPr>
      <w:r>
        <w:rPr>
          <w:b/>
        </w:rPr>
        <w:t xml:space="preserve">Executive Group </w:t>
      </w:r>
    </w:p>
    <w:p w:rsidR="00AF3A33" w:rsidRDefault="00EA600A" w:rsidP="00EA600A">
      <w:pPr>
        <w:pStyle w:val="ListParagraph"/>
        <w:numPr>
          <w:ilvl w:val="0"/>
          <w:numId w:val="8"/>
        </w:numPr>
      </w:pPr>
      <w:r>
        <w:t xml:space="preserve">Work </w:t>
      </w:r>
      <w:r w:rsidRPr="00EA600A">
        <w:t>Plan</w:t>
      </w:r>
      <w:r>
        <w:t xml:space="preserve"> for the Group</w:t>
      </w:r>
      <w:r w:rsidRPr="00EA600A">
        <w:t xml:space="preserve"> is currently </w:t>
      </w:r>
      <w:r>
        <w:t xml:space="preserve">under </w:t>
      </w:r>
      <w:r w:rsidRPr="00EA600A">
        <w:t>development</w:t>
      </w:r>
      <w:r>
        <w:t>, however this will need to mirror the APB teams work plan</w:t>
      </w:r>
      <w:r w:rsidRPr="00EA600A">
        <w:t>.</w:t>
      </w:r>
    </w:p>
    <w:p w:rsidR="00EA600A" w:rsidRDefault="00EA600A" w:rsidP="00EA600A">
      <w:pPr>
        <w:pStyle w:val="ListParagraph"/>
        <w:numPr>
          <w:ilvl w:val="0"/>
          <w:numId w:val="8"/>
        </w:numPr>
      </w:pPr>
      <w:r>
        <w:t>Main areas of work undertaken in quarter 1:</w:t>
      </w:r>
    </w:p>
    <w:p w:rsidR="00EA600A" w:rsidRDefault="00EA600A" w:rsidP="00EA600A">
      <w:pPr>
        <w:pStyle w:val="ListParagraph"/>
        <w:numPr>
          <w:ilvl w:val="1"/>
          <w:numId w:val="8"/>
        </w:numPr>
      </w:pPr>
      <w:r>
        <w:t>Terms of reference for the group was refreshed in line with the new APB structure</w:t>
      </w:r>
    </w:p>
    <w:p w:rsidR="00EA600A" w:rsidRDefault="00EA600A" w:rsidP="00EA600A">
      <w:pPr>
        <w:pStyle w:val="ListParagraph"/>
        <w:numPr>
          <w:ilvl w:val="1"/>
          <w:numId w:val="8"/>
        </w:numPr>
      </w:pPr>
      <w:r>
        <w:t>An ABMU HB representative (Zoe Wallace) was decided on to sit alongside Sue Stone</w:t>
      </w:r>
    </w:p>
    <w:p w:rsidR="00EA600A" w:rsidRDefault="00EA600A" w:rsidP="00EA600A">
      <w:pPr>
        <w:pStyle w:val="ListParagraph"/>
        <w:numPr>
          <w:ilvl w:val="1"/>
          <w:numId w:val="8"/>
        </w:numPr>
      </w:pPr>
      <w:r>
        <w:t>The group made a decision to concentrate efforts around maintaining green status of KPIs the APB are achieving and to improve performance in KPIs 1 and 5.</w:t>
      </w:r>
    </w:p>
    <w:p w:rsidR="00FC148C" w:rsidRDefault="00FC148C" w:rsidP="00EA600A">
      <w:pPr>
        <w:pStyle w:val="ListParagraph"/>
        <w:numPr>
          <w:ilvl w:val="1"/>
          <w:numId w:val="8"/>
        </w:numPr>
      </w:pPr>
      <w:r>
        <w:t>Group have started to look at residential rehabilitation provision for under 18s in the area to decide whether this is a priority area for development</w:t>
      </w:r>
    </w:p>
    <w:p w:rsidR="00FC148C" w:rsidRDefault="00FC148C" w:rsidP="00EA600A">
      <w:pPr>
        <w:pStyle w:val="ListParagraph"/>
        <w:numPr>
          <w:ilvl w:val="1"/>
          <w:numId w:val="8"/>
        </w:numPr>
      </w:pPr>
      <w:r>
        <w:t xml:space="preserve">The group is responsible for leading on the approval of the draft section 33 agreement which is currently out for consultation with partners.  Members of the group are responsible within their own organisations for ensuring that comments are fed back to NPTCBC legal services. </w:t>
      </w:r>
    </w:p>
    <w:p w:rsidR="00FC148C" w:rsidRDefault="00FC148C" w:rsidP="00EA600A">
      <w:pPr>
        <w:pStyle w:val="ListParagraph"/>
        <w:numPr>
          <w:ilvl w:val="1"/>
          <w:numId w:val="8"/>
        </w:numPr>
      </w:pPr>
      <w:r>
        <w:t>The group endorsed the Capital Estates Strategy for approval by the APB</w:t>
      </w:r>
    </w:p>
    <w:p w:rsidR="00FC148C" w:rsidRDefault="00FC148C" w:rsidP="00EA600A">
      <w:pPr>
        <w:pStyle w:val="ListParagraph"/>
        <w:numPr>
          <w:ilvl w:val="1"/>
          <w:numId w:val="8"/>
        </w:numPr>
      </w:pPr>
      <w:r>
        <w:t>The group keep a watching brief of the Risk Register and the delivery of the budget and are kept up to date with any outstanding risks and variances.</w:t>
      </w:r>
    </w:p>
    <w:p w:rsidR="001E158F" w:rsidRDefault="00FC148C" w:rsidP="001E158F">
      <w:pPr>
        <w:pStyle w:val="ListParagraph"/>
        <w:numPr>
          <w:ilvl w:val="1"/>
          <w:numId w:val="8"/>
        </w:numPr>
      </w:pPr>
      <w:r>
        <w:t xml:space="preserve">The group considered applications to the design the front cover of the Commissioning Strategy and chose a winning entry which came from Drugaid. The winning organisation was presented with £100 worth of camera equipment and all the entries were awarded £10 voucher for participating. </w:t>
      </w:r>
    </w:p>
    <w:p w:rsidR="00AF3A33" w:rsidRDefault="00AF3A33" w:rsidP="00AF3A33">
      <w:pPr>
        <w:rPr>
          <w:b/>
        </w:rPr>
      </w:pPr>
      <w:r>
        <w:rPr>
          <w:b/>
        </w:rPr>
        <w:t xml:space="preserve">Adult Treatment Sub Group </w:t>
      </w:r>
    </w:p>
    <w:p w:rsidR="005D75CD" w:rsidRDefault="005D75CD" w:rsidP="00AF3A33">
      <w:pPr>
        <w:rPr>
          <w:b/>
        </w:rPr>
      </w:pPr>
      <w:r>
        <w:rPr>
          <w:b/>
        </w:rPr>
        <w:t>Work Plan</w:t>
      </w:r>
    </w:p>
    <w:tbl>
      <w:tblPr>
        <w:tblStyle w:val="TableGrid"/>
        <w:tblW w:w="9322" w:type="dxa"/>
        <w:tblLook w:val="04A0" w:firstRow="1" w:lastRow="0" w:firstColumn="1" w:lastColumn="0" w:noHBand="0" w:noVBand="1"/>
      </w:tblPr>
      <w:tblGrid>
        <w:gridCol w:w="1462"/>
        <w:gridCol w:w="1576"/>
        <w:gridCol w:w="1407"/>
        <w:gridCol w:w="1851"/>
        <w:gridCol w:w="981"/>
        <w:gridCol w:w="1122"/>
        <w:gridCol w:w="999"/>
      </w:tblGrid>
      <w:tr w:rsidR="00002DC7" w:rsidTr="00002DC7">
        <w:tc>
          <w:tcPr>
            <w:tcW w:w="9322" w:type="dxa"/>
            <w:gridSpan w:val="7"/>
          </w:tcPr>
          <w:p w:rsidR="00002DC7" w:rsidRPr="00A15F79" w:rsidRDefault="00002DC7" w:rsidP="00725131">
            <w:pPr>
              <w:rPr>
                <w:b/>
              </w:rPr>
            </w:pPr>
            <w:r w:rsidRPr="00A15F79">
              <w:rPr>
                <w:b/>
              </w:rPr>
              <w:t>Theme 1: Pathways</w:t>
            </w:r>
          </w:p>
        </w:tc>
      </w:tr>
      <w:tr w:rsidR="00002DC7" w:rsidTr="00002DC7">
        <w:tc>
          <w:tcPr>
            <w:tcW w:w="1437" w:type="dxa"/>
          </w:tcPr>
          <w:p w:rsidR="00002DC7" w:rsidRPr="00A15F79" w:rsidRDefault="00002DC7" w:rsidP="00725131">
            <w:pPr>
              <w:jc w:val="center"/>
              <w:rPr>
                <w:b/>
              </w:rPr>
            </w:pPr>
            <w:r w:rsidRPr="00A15F79">
              <w:rPr>
                <w:b/>
              </w:rPr>
              <w:t>Action</w:t>
            </w:r>
          </w:p>
        </w:tc>
        <w:tc>
          <w:tcPr>
            <w:tcW w:w="1549" w:type="dxa"/>
          </w:tcPr>
          <w:p w:rsidR="00002DC7" w:rsidRPr="00A15F79" w:rsidRDefault="00002DC7" w:rsidP="00725131">
            <w:pPr>
              <w:jc w:val="center"/>
              <w:rPr>
                <w:b/>
              </w:rPr>
            </w:pPr>
            <w:r>
              <w:rPr>
                <w:b/>
              </w:rPr>
              <w:t>Source</w:t>
            </w:r>
          </w:p>
        </w:tc>
        <w:tc>
          <w:tcPr>
            <w:tcW w:w="1383" w:type="dxa"/>
          </w:tcPr>
          <w:p w:rsidR="00002DC7" w:rsidRPr="00A15F79" w:rsidRDefault="00002DC7" w:rsidP="00725131">
            <w:pPr>
              <w:jc w:val="center"/>
              <w:rPr>
                <w:b/>
              </w:rPr>
            </w:pPr>
            <w:r w:rsidRPr="00A15F79">
              <w:rPr>
                <w:b/>
              </w:rPr>
              <w:t xml:space="preserve">Objective </w:t>
            </w:r>
          </w:p>
        </w:tc>
        <w:tc>
          <w:tcPr>
            <w:tcW w:w="1819" w:type="dxa"/>
          </w:tcPr>
          <w:p w:rsidR="00002DC7" w:rsidRPr="00A15F79" w:rsidRDefault="00002DC7" w:rsidP="00725131">
            <w:pPr>
              <w:jc w:val="center"/>
              <w:rPr>
                <w:b/>
              </w:rPr>
            </w:pPr>
            <w:r w:rsidRPr="00A15F79">
              <w:rPr>
                <w:b/>
              </w:rPr>
              <w:t>Outcome</w:t>
            </w:r>
          </w:p>
        </w:tc>
        <w:tc>
          <w:tcPr>
            <w:tcW w:w="966" w:type="dxa"/>
          </w:tcPr>
          <w:p w:rsidR="00002DC7" w:rsidRPr="00A15F79" w:rsidRDefault="00002DC7" w:rsidP="00725131">
            <w:pPr>
              <w:jc w:val="center"/>
              <w:rPr>
                <w:b/>
              </w:rPr>
            </w:pPr>
            <w:r w:rsidRPr="00A15F79">
              <w:rPr>
                <w:b/>
              </w:rPr>
              <w:t xml:space="preserve">Lead </w:t>
            </w:r>
          </w:p>
        </w:tc>
        <w:tc>
          <w:tcPr>
            <w:tcW w:w="1104" w:type="dxa"/>
          </w:tcPr>
          <w:p w:rsidR="00002DC7" w:rsidRPr="00A15F79" w:rsidRDefault="00002DC7" w:rsidP="00725131">
            <w:pPr>
              <w:jc w:val="center"/>
              <w:rPr>
                <w:b/>
              </w:rPr>
            </w:pPr>
            <w:r w:rsidRPr="00A15F79">
              <w:rPr>
                <w:b/>
              </w:rPr>
              <w:t>Timescale</w:t>
            </w:r>
          </w:p>
        </w:tc>
        <w:tc>
          <w:tcPr>
            <w:tcW w:w="1064" w:type="dxa"/>
          </w:tcPr>
          <w:p w:rsidR="00002DC7" w:rsidRPr="00A15F79" w:rsidRDefault="00002DC7" w:rsidP="00725131">
            <w:pPr>
              <w:jc w:val="center"/>
              <w:rPr>
                <w:b/>
              </w:rPr>
            </w:pPr>
            <w:r w:rsidRPr="00A15F79">
              <w:rPr>
                <w:b/>
              </w:rPr>
              <w:t>Progress</w:t>
            </w:r>
          </w:p>
        </w:tc>
      </w:tr>
      <w:tr w:rsidR="00002DC7" w:rsidTr="00002DC7">
        <w:tc>
          <w:tcPr>
            <w:tcW w:w="1437" w:type="dxa"/>
          </w:tcPr>
          <w:p w:rsidR="00002DC7" w:rsidRDefault="00002DC7" w:rsidP="00725131">
            <w:pPr>
              <w:jc w:val="center"/>
            </w:pPr>
            <w:r>
              <w:t>Carry out review of the AADAS Single Assessment Service</w:t>
            </w:r>
          </w:p>
        </w:tc>
        <w:tc>
          <w:tcPr>
            <w:tcW w:w="1549" w:type="dxa"/>
          </w:tcPr>
          <w:p w:rsidR="00002DC7" w:rsidRDefault="00002DC7" w:rsidP="00725131">
            <w:pPr>
              <w:jc w:val="center"/>
            </w:pPr>
            <w:r>
              <w:t>Workshop</w:t>
            </w:r>
          </w:p>
        </w:tc>
        <w:tc>
          <w:tcPr>
            <w:tcW w:w="1383" w:type="dxa"/>
          </w:tcPr>
          <w:p w:rsidR="00002DC7" w:rsidRDefault="00002DC7" w:rsidP="00725131">
            <w:pPr>
              <w:jc w:val="center"/>
            </w:pPr>
            <w:r>
              <w:t>To ascertain the effectiveness of the current assessment model</w:t>
            </w:r>
          </w:p>
        </w:tc>
        <w:tc>
          <w:tcPr>
            <w:tcW w:w="1819" w:type="dxa"/>
          </w:tcPr>
          <w:p w:rsidR="00002DC7" w:rsidRDefault="00002DC7" w:rsidP="00725131">
            <w:pPr>
              <w:jc w:val="center"/>
            </w:pPr>
            <w:r>
              <w:t>To produce a review report with recommendations for the APB to consider.</w:t>
            </w:r>
          </w:p>
        </w:tc>
        <w:tc>
          <w:tcPr>
            <w:tcW w:w="966" w:type="dxa"/>
          </w:tcPr>
          <w:p w:rsidR="00002DC7" w:rsidRDefault="00002DC7" w:rsidP="00725131">
            <w:pPr>
              <w:jc w:val="center"/>
            </w:pPr>
            <w:r>
              <w:t>Working group:</w:t>
            </w:r>
          </w:p>
          <w:p w:rsidR="00002DC7" w:rsidRDefault="00002DC7" w:rsidP="00725131">
            <w:pPr>
              <w:jc w:val="center"/>
            </w:pPr>
            <w:r>
              <w:t>Claire Fauvel</w:t>
            </w:r>
          </w:p>
          <w:p w:rsidR="00002DC7" w:rsidRDefault="00002DC7" w:rsidP="00725131">
            <w:pPr>
              <w:jc w:val="center"/>
            </w:pPr>
            <w:r>
              <w:t>Karen Ozzati</w:t>
            </w:r>
          </w:p>
          <w:p w:rsidR="00002DC7" w:rsidRDefault="00002DC7" w:rsidP="00725131">
            <w:pPr>
              <w:jc w:val="center"/>
            </w:pPr>
            <w:r>
              <w:t>Alex Drohan</w:t>
            </w:r>
          </w:p>
          <w:p w:rsidR="00002DC7" w:rsidRDefault="00002DC7" w:rsidP="00725131">
            <w:pPr>
              <w:jc w:val="center"/>
            </w:pPr>
            <w:r>
              <w:t>Ifor Glyn</w:t>
            </w:r>
          </w:p>
          <w:p w:rsidR="00002DC7" w:rsidRDefault="00002DC7" w:rsidP="00725131">
            <w:pPr>
              <w:jc w:val="center"/>
            </w:pPr>
            <w:r>
              <w:t>Simon Giles</w:t>
            </w:r>
          </w:p>
        </w:tc>
        <w:tc>
          <w:tcPr>
            <w:tcW w:w="1104" w:type="dxa"/>
          </w:tcPr>
          <w:p w:rsidR="00002DC7" w:rsidRDefault="00002DC7" w:rsidP="00725131">
            <w:pPr>
              <w:jc w:val="center"/>
            </w:pPr>
            <w:r>
              <w:t>1st Jan 2017</w:t>
            </w:r>
          </w:p>
        </w:tc>
        <w:tc>
          <w:tcPr>
            <w:tcW w:w="1064" w:type="dxa"/>
          </w:tcPr>
          <w:p w:rsidR="00002DC7" w:rsidRDefault="00002DC7" w:rsidP="00725131">
            <w:pPr>
              <w:jc w:val="center"/>
            </w:pPr>
            <w:r>
              <w:t>ongoing</w:t>
            </w:r>
          </w:p>
        </w:tc>
      </w:tr>
      <w:tr w:rsidR="00002DC7" w:rsidTr="00002DC7">
        <w:tc>
          <w:tcPr>
            <w:tcW w:w="1437" w:type="dxa"/>
          </w:tcPr>
          <w:p w:rsidR="00002DC7" w:rsidRDefault="00002DC7" w:rsidP="00725131">
            <w:pPr>
              <w:jc w:val="center"/>
            </w:pPr>
            <w:r>
              <w:t>To assist the APB in implementing the dual diagnosis framework locally</w:t>
            </w:r>
          </w:p>
        </w:tc>
        <w:tc>
          <w:tcPr>
            <w:tcW w:w="1549" w:type="dxa"/>
          </w:tcPr>
          <w:p w:rsidR="00002DC7" w:rsidRDefault="00002DC7" w:rsidP="00725131">
            <w:pPr>
              <w:jc w:val="center"/>
            </w:pPr>
            <w:r>
              <w:t>Workshop/WG</w:t>
            </w:r>
          </w:p>
        </w:tc>
        <w:tc>
          <w:tcPr>
            <w:tcW w:w="1383" w:type="dxa"/>
          </w:tcPr>
          <w:p w:rsidR="00002DC7" w:rsidRDefault="00002DC7" w:rsidP="00725131">
            <w:pPr>
              <w:jc w:val="center"/>
            </w:pPr>
            <w:r>
              <w:t xml:space="preserve">To ensure that the dual diagnosis strategy and pathways are embedded in service delivery </w:t>
            </w:r>
          </w:p>
        </w:tc>
        <w:tc>
          <w:tcPr>
            <w:tcW w:w="1819" w:type="dxa"/>
          </w:tcPr>
          <w:p w:rsidR="00002DC7" w:rsidRDefault="00002DC7" w:rsidP="00725131">
            <w:pPr>
              <w:jc w:val="center"/>
            </w:pPr>
            <w:r>
              <w:t>That all service users with a co-occurring diagnosis are provided with the appropriate services in accordance with the agreed pathways.</w:t>
            </w:r>
          </w:p>
        </w:tc>
        <w:tc>
          <w:tcPr>
            <w:tcW w:w="966" w:type="dxa"/>
          </w:tcPr>
          <w:p w:rsidR="00002DC7" w:rsidRDefault="00002DC7" w:rsidP="00725131">
            <w:pPr>
              <w:jc w:val="center"/>
            </w:pPr>
            <w:r>
              <w:t>All</w:t>
            </w:r>
          </w:p>
        </w:tc>
        <w:tc>
          <w:tcPr>
            <w:tcW w:w="1104" w:type="dxa"/>
          </w:tcPr>
          <w:p w:rsidR="00002DC7" w:rsidRDefault="00002DC7" w:rsidP="00725131">
            <w:pPr>
              <w:jc w:val="center"/>
            </w:pPr>
            <w:r>
              <w:t>Ongoing</w:t>
            </w:r>
          </w:p>
        </w:tc>
        <w:tc>
          <w:tcPr>
            <w:tcW w:w="1064" w:type="dxa"/>
          </w:tcPr>
          <w:p w:rsidR="00002DC7" w:rsidRDefault="00002DC7" w:rsidP="00725131">
            <w:pPr>
              <w:jc w:val="center"/>
            </w:pPr>
            <w:r>
              <w:t>ongoing</w:t>
            </w:r>
          </w:p>
        </w:tc>
      </w:tr>
      <w:tr w:rsidR="00002DC7" w:rsidTr="00002DC7">
        <w:tc>
          <w:tcPr>
            <w:tcW w:w="9322" w:type="dxa"/>
            <w:gridSpan w:val="7"/>
          </w:tcPr>
          <w:p w:rsidR="00002DC7" w:rsidRPr="00A15F79" w:rsidRDefault="00002DC7" w:rsidP="00725131">
            <w:pPr>
              <w:rPr>
                <w:b/>
              </w:rPr>
            </w:pPr>
            <w:r w:rsidRPr="00A15F79">
              <w:rPr>
                <w:b/>
              </w:rPr>
              <w:t>Theme 2: Quality</w:t>
            </w:r>
          </w:p>
        </w:tc>
      </w:tr>
      <w:tr w:rsidR="00002DC7" w:rsidTr="00002DC7">
        <w:tc>
          <w:tcPr>
            <w:tcW w:w="1437" w:type="dxa"/>
          </w:tcPr>
          <w:p w:rsidR="00002DC7" w:rsidRDefault="00002DC7" w:rsidP="00725131">
            <w:pPr>
              <w:jc w:val="center"/>
            </w:pPr>
            <w:r>
              <w:t>Research drop-in services across the region and options from further afield</w:t>
            </w:r>
          </w:p>
        </w:tc>
        <w:tc>
          <w:tcPr>
            <w:tcW w:w="1549" w:type="dxa"/>
          </w:tcPr>
          <w:p w:rsidR="00002DC7" w:rsidRDefault="00002DC7" w:rsidP="00725131">
            <w:pPr>
              <w:jc w:val="center"/>
            </w:pPr>
            <w:r>
              <w:t>Workshop</w:t>
            </w:r>
          </w:p>
        </w:tc>
        <w:tc>
          <w:tcPr>
            <w:tcW w:w="1383" w:type="dxa"/>
          </w:tcPr>
          <w:p w:rsidR="00002DC7" w:rsidRDefault="00002DC7" w:rsidP="00725131">
            <w:pPr>
              <w:jc w:val="center"/>
            </w:pPr>
            <w:r>
              <w:t>To ascertain a model of best practice including monitoring and desired outcomes of provision</w:t>
            </w:r>
          </w:p>
        </w:tc>
        <w:tc>
          <w:tcPr>
            <w:tcW w:w="1819" w:type="dxa"/>
          </w:tcPr>
          <w:p w:rsidR="00002DC7" w:rsidRDefault="00002DC7" w:rsidP="00725131">
            <w:pPr>
              <w:jc w:val="center"/>
            </w:pPr>
            <w:r>
              <w:t>To provide a recommendation for future service delivery</w:t>
            </w:r>
          </w:p>
        </w:tc>
        <w:tc>
          <w:tcPr>
            <w:tcW w:w="966" w:type="dxa"/>
          </w:tcPr>
          <w:p w:rsidR="00002DC7" w:rsidRDefault="00002DC7" w:rsidP="00725131">
            <w:pPr>
              <w:jc w:val="center"/>
            </w:pPr>
            <w:r>
              <w:t>Karen Ozzati</w:t>
            </w:r>
          </w:p>
          <w:p w:rsidR="00002DC7" w:rsidRDefault="00002DC7" w:rsidP="00725131">
            <w:pPr>
              <w:jc w:val="center"/>
            </w:pPr>
            <w:r>
              <w:t>Ifor Glyn</w:t>
            </w:r>
          </w:p>
        </w:tc>
        <w:tc>
          <w:tcPr>
            <w:tcW w:w="1104" w:type="dxa"/>
          </w:tcPr>
          <w:p w:rsidR="00002DC7" w:rsidRDefault="00002DC7" w:rsidP="00725131">
            <w:pPr>
              <w:jc w:val="center"/>
            </w:pPr>
            <w:r>
              <w:t>31st Oct 2016</w:t>
            </w:r>
          </w:p>
        </w:tc>
        <w:tc>
          <w:tcPr>
            <w:tcW w:w="1064" w:type="dxa"/>
          </w:tcPr>
          <w:p w:rsidR="00002DC7" w:rsidRDefault="00002DC7" w:rsidP="00725131">
            <w:pPr>
              <w:jc w:val="center"/>
            </w:pPr>
            <w:r>
              <w:t>ongoing</w:t>
            </w:r>
          </w:p>
        </w:tc>
      </w:tr>
      <w:tr w:rsidR="00002DC7" w:rsidTr="00002DC7">
        <w:tc>
          <w:tcPr>
            <w:tcW w:w="1437" w:type="dxa"/>
          </w:tcPr>
          <w:p w:rsidR="00002DC7" w:rsidRDefault="00002DC7" w:rsidP="00725131">
            <w:pPr>
              <w:jc w:val="center"/>
            </w:pPr>
            <w:r>
              <w:t>To assist the APB in moving towards the preferred Low Threshold Prescribing model.</w:t>
            </w:r>
          </w:p>
        </w:tc>
        <w:tc>
          <w:tcPr>
            <w:tcW w:w="1549" w:type="dxa"/>
          </w:tcPr>
          <w:p w:rsidR="00002DC7" w:rsidRDefault="00002DC7" w:rsidP="00725131">
            <w:pPr>
              <w:jc w:val="center"/>
            </w:pPr>
            <w:r>
              <w:t>Commissioning Strategy, Workshop and APB review  LTPS</w:t>
            </w:r>
          </w:p>
        </w:tc>
        <w:tc>
          <w:tcPr>
            <w:tcW w:w="1383" w:type="dxa"/>
          </w:tcPr>
          <w:p w:rsidR="00002DC7" w:rsidRDefault="00002DC7" w:rsidP="00725131">
            <w:pPr>
              <w:jc w:val="center"/>
            </w:pPr>
            <w:r>
              <w:t>To ensure appropriate Low Threshold provision across the region.</w:t>
            </w:r>
          </w:p>
        </w:tc>
        <w:tc>
          <w:tcPr>
            <w:tcW w:w="1819" w:type="dxa"/>
          </w:tcPr>
          <w:p w:rsidR="00002DC7" w:rsidRDefault="00002DC7" w:rsidP="00725131">
            <w:pPr>
              <w:jc w:val="center"/>
            </w:pPr>
            <w:r>
              <w:t>That the APB is able to commission a cost effective and efficient service</w:t>
            </w:r>
          </w:p>
        </w:tc>
        <w:tc>
          <w:tcPr>
            <w:tcW w:w="966" w:type="dxa"/>
          </w:tcPr>
          <w:p w:rsidR="00002DC7" w:rsidRDefault="00002DC7" w:rsidP="00725131">
            <w:pPr>
              <w:jc w:val="center"/>
            </w:pPr>
            <w:r>
              <w:t>Julia Jenkins</w:t>
            </w:r>
          </w:p>
        </w:tc>
        <w:tc>
          <w:tcPr>
            <w:tcW w:w="1104" w:type="dxa"/>
          </w:tcPr>
          <w:p w:rsidR="00002DC7" w:rsidRDefault="00002DC7" w:rsidP="00725131">
            <w:pPr>
              <w:jc w:val="center"/>
            </w:pPr>
            <w:r>
              <w:t>1 Apr 2017</w:t>
            </w:r>
          </w:p>
        </w:tc>
        <w:tc>
          <w:tcPr>
            <w:tcW w:w="1064" w:type="dxa"/>
          </w:tcPr>
          <w:p w:rsidR="00002DC7" w:rsidRDefault="00002DC7" w:rsidP="00725131">
            <w:pPr>
              <w:jc w:val="center"/>
            </w:pPr>
            <w:r>
              <w:t>ongoing</w:t>
            </w:r>
          </w:p>
        </w:tc>
      </w:tr>
      <w:tr w:rsidR="00002DC7" w:rsidTr="00002DC7">
        <w:tc>
          <w:tcPr>
            <w:tcW w:w="1437" w:type="dxa"/>
          </w:tcPr>
          <w:p w:rsidR="00002DC7" w:rsidRDefault="00002DC7" w:rsidP="00725131">
            <w:pPr>
              <w:jc w:val="center"/>
            </w:pPr>
            <w:r>
              <w:t>Carry out an analysis of Newid services against a “Gold Standard” service by mapping provision against the WG treatment framework and harnessing service user feedback.</w:t>
            </w:r>
          </w:p>
        </w:tc>
        <w:tc>
          <w:tcPr>
            <w:tcW w:w="1549" w:type="dxa"/>
          </w:tcPr>
          <w:p w:rsidR="00002DC7" w:rsidRDefault="00002DC7" w:rsidP="00725131">
            <w:pPr>
              <w:jc w:val="center"/>
            </w:pPr>
            <w:r>
              <w:t>Workshop</w:t>
            </w:r>
          </w:p>
        </w:tc>
        <w:tc>
          <w:tcPr>
            <w:tcW w:w="1383" w:type="dxa"/>
          </w:tcPr>
          <w:p w:rsidR="00002DC7" w:rsidRDefault="00002DC7" w:rsidP="00725131">
            <w:pPr>
              <w:jc w:val="center"/>
            </w:pPr>
            <w:r>
              <w:t>To ascertain what gaps in provision exist and what could be done to plug the gaps.</w:t>
            </w:r>
          </w:p>
        </w:tc>
        <w:tc>
          <w:tcPr>
            <w:tcW w:w="1819" w:type="dxa"/>
          </w:tcPr>
          <w:p w:rsidR="00002DC7" w:rsidRDefault="00002DC7" w:rsidP="00725131">
            <w:pPr>
              <w:jc w:val="center"/>
            </w:pPr>
            <w:r w:rsidRPr="00F06154">
              <w:t xml:space="preserve">To provide </w:t>
            </w:r>
            <w:r>
              <w:t>ideas for the APB on</w:t>
            </w:r>
            <w:r w:rsidRPr="00F06154">
              <w:t xml:space="preserve"> future service delivery</w:t>
            </w:r>
          </w:p>
        </w:tc>
        <w:tc>
          <w:tcPr>
            <w:tcW w:w="966" w:type="dxa"/>
          </w:tcPr>
          <w:p w:rsidR="00002DC7" w:rsidRDefault="00002DC7" w:rsidP="00725131">
            <w:pPr>
              <w:jc w:val="center"/>
            </w:pPr>
            <w:r>
              <w:t>Carl Williams</w:t>
            </w:r>
          </w:p>
        </w:tc>
        <w:tc>
          <w:tcPr>
            <w:tcW w:w="1104" w:type="dxa"/>
          </w:tcPr>
          <w:p w:rsidR="00002DC7" w:rsidRDefault="00002DC7" w:rsidP="00725131">
            <w:pPr>
              <w:jc w:val="center"/>
            </w:pPr>
            <w:r>
              <w:t>31st Mar 2017</w:t>
            </w:r>
          </w:p>
        </w:tc>
        <w:tc>
          <w:tcPr>
            <w:tcW w:w="1064" w:type="dxa"/>
          </w:tcPr>
          <w:p w:rsidR="00002DC7" w:rsidRDefault="00002DC7" w:rsidP="00725131">
            <w:pPr>
              <w:jc w:val="center"/>
            </w:pPr>
            <w:r>
              <w:t>ongoing</w:t>
            </w:r>
          </w:p>
        </w:tc>
      </w:tr>
      <w:tr w:rsidR="00002DC7" w:rsidTr="00002DC7">
        <w:tc>
          <w:tcPr>
            <w:tcW w:w="9322" w:type="dxa"/>
            <w:gridSpan w:val="7"/>
          </w:tcPr>
          <w:p w:rsidR="00002DC7" w:rsidRPr="00A15F79" w:rsidRDefault="00002DC7" w:rsidP="00725131">
            <w:pPr>
              <w:rPr>
                <w:b/>
              </w:rPr>
            </w:pPr>
            <w:r w:rsidRPr="00A15F79">
              <w:rPr>
                <w:b/>
              </w:rPr>
              <w:t>Theme 3: Service User and Carer Involvement</w:t>
            </w:r>
          </w:p>
        </w:tc>
      </w:tr>
      <w:tr w:rsidR="00002DC7" w:rsidTr="00002DC7">
        <w:tc>
          <w:tcPr>
            <w:tcW w:w="1437" w:type="dxa"/>
          </w:tcPr>
          <w:p w:rsidR="00002DC7" w:rsidRDefault="00002DC7" w:rsidP="00725131">
            <w:pPr>
              <w:jc w:val="center"/>
            </w:pPr>
            <w:r>
              <w:t>Carry out a review of the processes around involving service users and carers in the planning and delivery of their care.</w:t>
            </w:r>
          </w:p>
        </w:tc>
        <w:tc>
          <w:tcPr>
            <w:tcW w:w="1549" w:type="dxa"/>
          </w:tcPr>
          <w:p w:rsidR="00002DC7" w:rsidRDefault="00002DC7" w:rsidP="00725131">
            <w:pPr>
              <w:jc w:val="center"/>
            </w:pPr>
            <w:r>
              <w:t>Commissioning Strategy</w:t>
            </w:r>
          </w:p>
        </w:tc>
        <w:tc>
          <w:tcPr>
            <w:tcW w:w="1383" w:type="dxa"/>
          </w:tcPr>
          <w:p w:rsidR="00002DC7" w:rsidRDefault="00002DC7" w:rsidP="00725131">
            <w:pPr>
              <w:jc w:val="center"/>
            </w:pPr>
            <w:r>
              <w:t>To ascertain if the current systems as the most effective way  of co-producing service development</w:t>
            </w:r>
          </w:p>
        </w:tc>
        <w:tc>
          <w:tcPr>
            <w:tcW w:w="1819" w:type="dxa"/>
          </w:tcPr>
          <w:p w:rsidR="00002DC7" w:rsidRDefault="00002DC7" w:rsidP="00725131">
            <w:pPr>
              <w:jc w:val="center"/>
            </w:pPr>
            <w:r>
              <w:t>That service providers harness the input of service users and carers effectively.</w:t>
            </w:r>
          </w:p>
        </w:tc>
        <w:tc>
          <w:tcPr>
            <w:tcW w:w="966" w:type="dxa"/>
          </w:tcPr>
          <w:p w:rsidR="00002DC7" w:rsidRDefault="00002DC7" w:rsidP="00725131">
            <w:pPr>
              <w:jc w:val="center"/>
            </w:pPr>
            <w:r>
              <w:t>Carl Williams</w:t>
            </w:r>
          </w:p>
        </w:tc>
        <w:tc>
          <w:tcPr>
            <w:tcW w:w="1104" w:type="dxa"/>
          </w:tcPr>
          <w:p w:rsidR="00002DC7" w:rsidRDefault="00002DC7" w:rsidP="00725131">
            <w:pPr>
              <w:jc w:val="center"/>
            </w:pPr>
            <w:r>
              <w:t>1st Apr 2017</w:t>
            </w:r>
          </w:p>
        </w:tc>
        <w:tc>
          <w:tcPr>
            <w:tcW w:w="1064" w:type="dxa"/>
          </w:tcPr>
          <w:p w:rsidR="00002DC7" w:rsidRDefault="00002DC7" w:rsidP="00725131">
            <w:pPr>
              <w:jc w:val="center"/>
            </w:pPr>
            <w:r>
              <w:t>ongoing</w:t>
            </w:r>
          </w:p>
        </w:tc>
      </w:tr>
      <w:tr w:rsidR="00002DC7" w:rsidTr="00002DC7">
        <w:tc>
          <w:tcPr>
            <w:tcW w:w="1437" w:type="dxa"/>
          </w:tcPr>
          <w:p w:rsidR="00002DC7" w:rsidRDefault="00002DC7" w:rsidP="00725131">
            <w:pPr>
              <w:jc w:val="center"/>
            </w:pPr>
            <w:r>
              <w:t>Explore the feasibility of developing a programme of peer mentoring to provide assertive outreach especially for young people accessing NEX</w:t>
            </w:r>
          </w:p>
        </w:tc>
        <w:tc>
          <w:tcPr>
            <w:tcW w:w="1549" w:type="dxa"/>
          </w:tcPr>
          <w:p w:rsidR="00002DC7" w:rsidRDefault="00002DC7" w:rsidP="00725131">
            <w:pPr>
              <w:jc w:val="center"/>
            </w:pPr>
            <w:r>
              <w:t>Under 18s Needle Exchange Research</w:t>
            </w:r>
          </w:p>
        </w:tc>
        <w:tc>
          <w:tcPr>
            <w:tcW w:w="1383" w:type="dxa"/>
          </w:tcPr>
          <w:p w:rsidR="00002DC7" w:rsidRDefault="00002DC7" w:rsidP="00725131">
            <w:pPr>
              <w:jc w:val="center"/>
            </w:pPr>
            <w:r>
              <w:t>To ascertain if under 18s could be more effectively provided with advice and guidance from elder peers rather than from service providers</w:t>
            </w:r>
          </w:p>
        </w:tc>
        <w:tc>
          <w:tcPr>
            <w:tcW w:w="1819" w:type="dxa"/>
          </w:tcPr>
          <w:p w:rsidR="00002DC7" w:rsidRDefault="00002DC7" w:rsidP="00725131">
            <w:pPr>
              <w:jc w:val="center"/>
            </w:pPr>
            <w:r>
              <w:t>That younger NEX users are provided with effective harm reduction advice and guidance.</w:t>
            </w:r>
          </w:p>
        </w:tc>
        <w:tc>
          <w:tcPr>
            <w:tcW w:w="966" w:type="dxa"/>
          </w:tcPr>
          <w:p w:rsidR="00002DC7" w:rsidRDefault="00002DC7" w:rsidP="00725131">
            <w:pPr>
              <w:jc w:val="center"/>
            </w:pPr>
            <w:r>
              <w:t>Chair of CYP Sub Group</w:t>
            </w:r>
          </w:p>
          <w:p w:rsidR="00002DC7" w:rsidRDefault="00002DC7" w:rsidP="00725131">
            <w:pPr>
              <w:jc w:val="center"/>
            </w:pPr>
            <w:r>
              <w:t>Chair of AT Sub Group</w:t>
            </w:r>
          </w:p>
          <w:p w:rsidR="00002DC7" w:rsidRDefault="00002DC7" w:rsidP="00725131">
            <w:pPr>
              <w:jc w:val="center"/>
            </w:pPr>
            <w:r>
              <w:t>Chair of HR Sub Group</w:t>
            </w:r>
          </w:p>
        </w:tc>
        <w:tc>
          <w:tcPr>
            <w:tcW w:w="1104" w:type="dxa"/>
          </w:tcPr>
          <w:p w:rsidR="00002DC7" w:rsidRDefault="00002DC7" w:rsidP="00725131">
            <w:pPr>
              <w:jc w:val="center"/>
            </w:pPr>
            <w:r>
              <w:t>1st Apr 2017</w:t>
            </w:r>
          </w:p>
        </w:tc>
        <w:tc>
          <w:tcPr>
            <w:tcW w:w="1064" w:type="dxa"/>
          </w:tcPr>
          <w:p w:rsidR="00002DC7" w:rsidRDefault="00002DC7" w:rsidP="00725131">
            <w:pPr>
              <w:jc w:val="center"/>
            </w:pPr>
            <w:r>
              <w:t>ongoing</w:t>
            </w:r>
          </w:p>
        </w:tc>
      </w:tr>
      <w:tr w:rsidR="00002DC7" w:rsidTr="00002DC7">
        <w:tc>
          <w:tcPr>
            <w:tcW w:w="9322" w:type="dxa"/>
            <w:gridSpan w:val="7"/>
          </w:tcPr>
          <w:p w:rsidR="00002DC7" w:rsidRPr="00B47370" w:rsidRDefault="00002DC7" w:rsidP="00725131">
            <w:pPr>
              <w:rPr>
                <w:b/>
              </w:rPr>
            </w:pPr>
            <w:r w:rsidRPr="00B47370">
              <w:rPr>
                <w:b/>
              </w:rPr>
              <w:t>Theme 4: Workforce Development</w:t>
            </w:r>
          </w:p>
        </w:tc>
      </w:tr>
      <w:tr w:rsidR="00002DC7" w:rsidTr="00002DC7">
        <w:tc>
          <w:tcPr>
            <w:tcW w:w="1437" w:type="dxa"/>
          </w:tcPr>
          <w:p w:rsidR="00002DC7" w:rsidRDefault="00002DC7" w:rsidP="00725131">
            <w:pPr>
              <w:jc w:val="center"/>
            </w:pPr>
            <w:r>
              <w:t>Organise a multi-agency workshop based around learning from case studies</w:t>
            </w:r>
          </w:p>
        </w:tc>
        <w:tc>
          <w:tcPr>
            <w:tcW w:w="1549" w:type="dxa"/>
          </w:tcPr>
          <w:p w:rsidR="00002DC7" w:rsidRDefault="00002DC7" w:rsidP="00725131">
            <w:pPr>
              <w:jc w:val="center"/>
            </w:pPr>
            <w:r>
              <w:t>Workshop</w:t>
            </w:r>
          </w:p>
        </w:tc>
        <w:tc>
          <w:tcPr>
            <w:tcW w:w="1383" w:type="dxa"/>
          </w:tcPr>
          <w:p w:rsidR="00002DC7" w:rsidRDefault="00002DC7" w:rsidP="00725131">
            <w:pPr>
              <w:jc w:val="center"/>
            </w:pPr>
            <w:r>
              <w:t>To promote integrated working and collective learning</w:t>
            </w:r>
          </w:p>
        </w:tc>
        <w:tc>
          <w:tcPr>
            <w:tcW w:w="1819" w:type="dxa"/>
          </w:tcPr>
          <w:p w:rsidR="00002DC7" w:rsidRPr="00F06154" w:rsidRDefault="00002DC7" w:rsidP="00725131">
            <w:pPr>
              <w:jc w:val="center"/>
            </w:pPr>
            <w:r>
              <w:t xml:space="preserve">That staff across all services have an opportunity to discuss case work and learn new skills/techniques </w:t>
            </w:r>
          </w:p>
        </w:tc>
        <w:tc>
          <w:tcPr>
            <w:tcW w:w="966" w:type="dxa"/>
          </w:tcPr>
          <w:p w:rsidR="00002DC7" w:rsidRDefault="00002DC7" w:rsidP="00725131">
            <w:pPr>
              <w:jc w:val="center"/>
            </w:pPr>
            <w:r>
              <w:t>Becky Hancock</w:t>
            </w:r>
          </w:p>
        </w:tc>
        <w:tc>
          <w:tcPr>
            <w:tcW w:w="1104" w:type="dxa"/>
          </w:tcPr>
          <w:p w:rsidR="00002DC7" w:rsidRDefault="00002DC7" w:rsidP="00725131">
            <w:pPr>
              <w:jc w:val="center"/>
            </w:pPr>
            <w:r>
              <w:t>28th Feb 2017</w:t>
            </w:r>
          </w:p>
        </w:tc>
        <w:tc>
          <w:tcPr>
            <w:tcW w:w="1064" w:type="dxa"/>
          </w:tcPr>
          <w:p w:rsidR="00002DC7" w:rsidRDefault="00002DC7" w:rsidP="00725131">
            <w:pPr>
              <w:jc w:val="center"/>
            </w:pPr>
            <w:r>
              <w:t>ongoing</w:t>
            </w:r>
          </w:p>
        </w:tc>
      </w:tr>
      <w:tr w:rsidR="00002DC7" w:rsidTr="00002DC7">
        <w:tc>
          <w:tcPr>
            <w:tcW w:w="1437" w:type="dxa"/>
          </w:tcPr>
          <w:p w:rsidR="00002DC7" w:rsidRDefault="00002DC7" w:rsidP="00725131">
            <w:pPr>
              <w:jc w:val="center"/>
            </w:pPr>
            <w:r>
              <w:t>Develop a job mentoring scheme</w:t>
            </w:r>
          </w:p>
        </w:tc>
        <w:tc>
          <w:tcPr>
            <w:tcW w:w="1549" w:type="dxa"/>
          </w:tcPr>
          <w:p w:rsidR="00002DC7" w:rsidRDefault="00002DC7" w:rsidP="00725131">
            <w:pPr>
              <w:jc w:val="center"/>
            </w:pPr>
            <w:r>
              <w:t>Workshop</w:t>
            </w:r>
          </w:p>
        </w:tc>
        <w:tc>
          <w:tcPr>
            <w:tcW w:w="1383" w:type="dxa"/>
          </w:tcPr>
          <w:p w:rsidR="00002DC7" w:rsidRDefault="00002DC7" w:rsidP="00725131">
            <w:pPr>
              <w:jc w:val="center"/>
            </w:pPr>
            <w:r>
              <w:t xml:space="preserve">To provide a low cost alternative training opportunity </w:t>
            </w:r>
          </w:p>
        </w:tc>
        <w:tc>
          <w:tcPr>
            <w:tcW w:w="1819" w:type="dxa"/>
          </w:tcPr>
          <w:p w:rsidR="00002DC7" w:rsidRDefault="00002DC7" w:rsidP="00725131">
            <w:pPr>
              <w:jc w:val="center"/>
            </w:pPr>
            <w:r>
              <w:t>That staff have opportunity to develop new practical skills.</w:t>
            </w:r>
          </w:p>
        </w:tc>
        <w:tc>
          <w:tcPr>
            <w:tcW w:w="966" w:type="dxa"/>
          </w:tcPr>
          <w:p w:rsidR="00002DC7" w:rsidRDefault="00002DC7" w:rsidP="00725131">
            <w:pPr>
              <w:jc w:val="center"/>
            </w:pPr>
            <w:r>
              <w:t>Julia Jenkins</w:t>
            </w:r>
          </w:p>
        </w:tc>
        <w:tc>
          <w:tcPr>
            <w:tcW w:w="1104" w:type="dxa"/>
          </w:tcPr>
          <w:p w:rsidR="00002DC7" w:rsidRDefault="00002DC7" w:rsidP="00725131">
            <w:pPr>
              <w:jc w:val="center"/>
            </w:pPr>
            <w:r>
              <w:t>October 2016</w:t>
            </w:r>
          </w:p>
        </w:tc>
        <w:tc>
          <w:tcPr>
            <w:tcW w:w="1064" w:type="dxa"/>
          </w:tcPr>
          <w:p w:rsidR="00002DC7" w:rsidRDefault="00002DC7" w:rsidP="00725131">
            <w:pPr>
              <w:jc w:val="center"/>
            </w:pPr>
            <w:r>
              <w:t>ongoing</w:t>
            </w:r>
          </w:p>
        </w:tc>
      </w:tr>
    </w:tbl>
    <w:p w:rsidR="00002DC7" w:rsidRPr="00002DC7" w:rsidRDefault="00002DC7" w:rsidP="00AF3A33"/>
    <w:p w:rsidR="00002DC7" w:rsidRPr="00002DC7" w:rsidRDefault="00002DC7" w:rsidP="00002DC7">
      <w:pPr>
        <w:pStyle w:val="ListParagraph"/>
        <w:numPr>
          <w:ilvl w:val="0"/>
          <w:numId w:val="9"/>
        </w:numPr>
      </w:pPr>
      <w:r w:rsidRPr="00002DC7">
        <w:t>Main areas of work undertaken in quarter 1:</w:t>
      </w:r>
    </w:p>
    <w:p w:rsidR="00002DC7" w:rsidRPr="00E311C4" w:rsidRDefault="00E311C4" w:rsidP="00002DC7">
      <w:pPr>
        <w:pStyle w:val="ListParagraph"/>
        <w:numPr>
          <w:ilvl w:val="1"/>
          <w:numId w:val="9"/>
        </w:numPr>
      </w:pPr>
      <w:r w:rsidRPr="00E311C4">
        <w:t>Terms of reference created for new structure and sub group</w:t>
      </w:r>
    </w:p>
    <w:p w:rsidR="00E311C4" w:rsidRDefault="00E311C4" w:rsidP="00002DC7">
      <w:pPr>
        <w:pStyle w:val="ListParagraph"/>
        <w:numPr>
          <w:ilvl w:val="1"/>
          <w:numId w:val="9"/>
        </w:numPr>
      </w:pPr>
      <w:r w:rsidRPr="00E311C4">
        <w:t>2 year work plan developed</w:t>
      </w:r>
      <w:r w:rsidR="006B2F8B">
        <w:t xml:space="preserve"> via a group development day, sub group to monitor progress of actions.</w:t>
      </w:r>
    </w:p>
    <w:p w:rsidR="00E311C4" w:rsidRDefault="00E311C4" w:rsidP="00E311C4">
      <w:pPr>
        <w:pStyle w:val="ListParagraph"/>
        <w:numPr>
          <w:ilvl w:val="1"/>
          <w:numId w:val="9"/>
        </w:numPr>
      </w:pPr>
      <w:r w:rsidRPr="00E311C4">
        <w:t xml:space="preserve">The Group </w:t>
      </w:r>
      <w:r>
        <w:t>agreed</w:t>
      </w:r>
      <w:r w:rsidRPr="00E311C4">
        <w:t xml:space="preserve"> that it would be beneficial to establish a suite of project proposals that can be ready to submit when underspends are identified</w:t>
      </w:r>
    </w:p>
    <w:p w:rsidR="00E311C4" w:rsidRPr="00E311C4" w:rsidRDefault="00E311C4" w:rsidP="00E311C4">
      <w:pPr>
        <w:pStyle w:val="ListParagraph"/>
        <w:numPr>
          <w:ilvl w:val="1"/>
          <w:numId w:val="9"/>
        </w:numPr>
      </w:pPr>
      <w:r w:rsidRPr="00E311C4">
        <w:t>Group will discuss emergent issues and develop projects that address the issues.</w:t>
      </w:r>
    </w:p>
    <w:p w:rsidR="00E311C4" w:rsidRDefault="00001186" w:rsidP="006B2F8B">
      <w:pPr>
        <w:pStyle w:val="ListParagraph"/>
        <w:numPr>
          <w:ilvl w:val="1"/>
          <w:numId w:val="9"/>
        </w:numPr>
      </w:pPr>
      <w:r>
        <w:t xml:space="preserve">Group made a recommendation to the Harm Reduction group to research policies and practice in relation to the provision of sharps boxes </w:t>
      </w:r>
      <w:r w:rsidR="006B2F8B" w:rsidRPr="006B2F8B">
        <w:t>supported/sheltered accommodation</w:t>
      </w:r>
    </w:p>
    <w:p w:rsidR="006B2F8B" w:rsidRDefault="006B2F8B" w:rsidP="006B2F8B">
      <w:pPr>
        <w:pStyle w:val="ListParagraph"/>
        <w:numPr>
          <w:ilvl w:val="1"/>
          <w:numId w:val="9"/>
        </w:numPr>
      </w:pPr>
      <w:r>
        <w:t>The group made a recommendation that service providers be more receptive to service user involvement and to extend invites to service user representatives at their team meetings.</w:t>
      </w:r>
    </w:p>
    <w:p w:rsidR="006B2F8B" w:rsidRPr="00E311C4" w:rsidRDefault="006B2F8B" w:rsidP="006B2F8B">
      <w:pPr>
        <w:pStyle w:val="ListParagraph"/>
        <w:numPr>
          <w:ilvl w:val="1"/>
          <w:numId w:val="9"/>
        </w:numPr>
      </w:pPr>
      <w:r>
        <w:t>The group will now be leading on monitoring the work and progress of the tier 4 budget and panel to ensure that the process is operating correctly and funding is being utilised appropriately.</w:t>
      </w:r>
    </w:p>
    <w:p w:rsidR="00AF3A33" w:rsidRDefault="00AF3A33" w:rsidP="00AF3A33">
      <w:pPr>
        <w:rPr>
          <w:b/>
        </w:rPr>
      </w:pPr>
      <w:r>
        <w:rPr>
          <w:b/>
        </w:rPr>
        <w:t xml:space="preserve">Children Young People and Families Sub Group </w:t>
      </w:r>
    </w:p>
    <w:p w:rsidR="006B2F8B" w:rsidRDefault="006B2F8B" w:rsidP="006B2F8B">
      <w:pPr>
        <w:pStyle w:val="ListParagraph"/>
        <w:numPr>
          <w:ilvl w:val="0"/>
          <w:numId w:val="9"/>
        </w:numPr>
      </w:pPr>
      <w:r w:rsidRPr="006B2F8B">
        <w:t>Work plan is currently under development</w:t>
      </w:r>
    </w:p>
    <w:p w:rsidR="006B2F8B" w:rsidRPr="006B2F8B" w:rsidRDefault="006B2F8B" w:rsidP="006B2F8B">
      <w:pPr>
        <w:pStyle w:val="ListParagraph"/>
        <w:numPr>
          <w:ilvl w:val="0"/>
          <w:numId w:val="9"/>
        </w:numPr>
      </w:pPr>
      <w:r w:rsidRPr="006B2F8B">
        <w:t>Main areas of work undertaken in quarter 1:</w:t>
      </w:r>
    </w:p>
    <w:p w:rsidR="006B2F8B" w:rsidRDefault="006B2F8B" w:rsidP="006B2F8B">
      <w:pPr>
        <w:pStyle w:val="ListParagraph"/>
        <w:numPr>
          <w:ilvl w:val="1"/>
          <w:numId w:val="9"/>
        </w:numPr>
      </w:pPr>
      <w:r>
        <w:t>Development day for the work plan was arranged in Jun but unfortunately had to be cancelled due to facilitator illness.  Work plan will now be developed at future meetings.</w:t>
      </w:r>
    </w:p>
    <w:p w:rsidR="00146017" w:rsidRDefault="00146017" w:rsidP="00146017">
      <w:pPr>
        <w:pStyle w:val="ListParagraph"/>
        <w:numPr>
          <w:ilvl w:val="1"/>
          <w:numId w:val="9"/>
        </w:numPr>
      </w:pPr>
      <w:r>
        <w:t xml:space="preserve">Terms of reference finalised by members in line with the APB restructure.  </w:t>
      </w:r>
    </w:p>
    <w:p w:rsidR="00146017" w:rsidRDefault="00146017" w:rsidP="00146017">
      <w:pPr>
        <w:pStyle w:val="ListParagraph"/>
        <w:numPr>
          <w:ilvl w:val="1"/>
          <w:numId w:val="9"/>
        </w:numPr>
      </w:pPr>
      <w:r>
        <w:t>Group’s remit extended to include families and membership extended to invite IFSS, Hidden Harm Service and Safeguarding Children Board.</w:t>
      </w:r>
    </w:p>
    <w:p w:rsidR="00146017" w:rsidRDefault="00146017" w:rsidP="00146017">
      <w:pPr>
        <w:pStyle w:val="ListParagraph"/>
        <w:numPr>
          <w:ilvl w:val="1"/>
          <w:numId w:val="9"/>
        </w:numPr>
      </w:pPr>
      <w:r>
        <w:t xml:space="preserve">Cross group working with the PET and Harm Reduction groups on YP NEX research, NPS Strategy and </w:t>
      </w:r>
      <w:r w:rsidR="005D75CD">
        <w:t>schools provision.</w:t>
      </w:r>
    </w:p>
    <w:p w:rsidR="005D75CD" w:rsidRPr="006B2F8B" w:rsidRDefault="005D75CD" w:rsidP="00146017">
      <w:pPr>
        <w:pStyle w:val="ListParagraph"/>
        <w:numPr>
          <w:ilvl w:val="1"/>
          <w:numId w:val="9"/>
        </w:numPr>
      </w:pPr>
      <w:r>
        <w:t>Group has received awareness raising sessions on the Triage project and the development of ABMUs CAMHs service.</w:t>
      </w:r>
    </w:p>
    <w:p w:rsidR="00AF3A33" w:rsidRDefault="00AF3A33" w:rsidP="00AF3A33">
      <w:pPr>
        <w:rPr>
          <w:b/>
        </w:rPr>
      </w:pPr>
      <w:r>
        <w:rPr>
          <w:b/>
        </w:rPr>
        <w:t xml:space="preserve">KPI &amp; Data Sub Group </w:t>
      </w:r>
    </w:p>
    <w:p w:rsidR="005D75CD" w:rsidRDefault="005D75CD" w:rsidP="00AF3A33">
      <w:pPr>
        <w:rPr>
          <w:b/>
        </w:rPr>
      </w:pPr>
      <w:r>
        <w:rPr>
          <w:b/>
        </w:rPr>
        <w:t>Work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2070"/>
        <w:gridCol w:w="1894"/>
        <w:gridCol w:w="1758"/>
        <w:gridCol w:w="1479"/>
      </w:tblGrid>
      <w:tr w:rsidR="005D75CD" w:rsidRPr="005D75CD" w:rsidTr="00725131">
        <w:tc>
          <w:tcPr>
            <w:tcW w:w="2841" w:type="dxa"/>
            <w:shd w:val="clear" w:color="auto" w:fill="A6A6A6"/>
          </w:tcPr>
          <w:p w:rsidR="005D75CD" w:rsidRPr="005D75CD" w:rsidRDefault="005D75CD" w:rsidP="005D75CD">
            <w:pPr>
              <w:rPr>
                <w:b/>
              </w:rPr>
            </w:pPr>
            <w:r w:rsidRPr="005D75CD">
              <w:rPr>
                <w:b/>
              </w:rPr>
              <w:t>Objective</w:t>
            </w:r>
          </w:p>
        </w:tc>
        <w:tc>
          <w:tcPr>
            <w:tcW w:w="3372" w:type="dxa"/>
            <w:shd w:val="clear" w:color="auto" w:fill="A6A6A6"/>
          </w:tcPr>
          <w:p w:rsidR="005D75CD" w:rsidRPr="005D75CD" w:rsidRDefault="005D75CD" w:rsidP="005D75CD">
            <w:pPr>
              <w:rPr>
                <w:b/>
              </w:rPr>
            </w:pPr>
            <w:r w:rsidRPr="005D75CD">
              <w:rPr>
                <w:b/>
              </w:rPr>
              <w:t>Key Actions</w:t>
            </w:r>
          </w:p>
        </w:tc>
        <w:tc>
          <w:tcPr>
            <w:tcW w:w="2685" w:type="dxa"/>
            <w:shd w:val="clear" w:color="auto" w:fill="A6A6A6"/>
          </w:tcPr>
          <w:p w:rsidR="005D75CD" w:rsidRPr="005D75CD" w:rsidRDefault="005D75CD" w:rsidP="005D75CD">
            <w:pPr>
              <w:rPr>
                <w:b/>
              </w:rPr>
            </w:pPr>
            <w:r w:rsidRPr="005D75CD">
              <w:rPr>
                <w:b/>
              </w:rPr>
              <w:t xml:space="preserve">Responsibility </w:t>
            </w:r>
          </w:p>
        </w:tc>
        <w:tc>
          <w:tcPr>
            <w:tcW w:w="2846" w:type="dxa"/>
            <w:shd w:val="clear" w:color="auto" w:fill="A6A6A6"/>
          </w:tcPr>
          <w:p w:rsidR="005D75CD" w:rsidRPr="005D75CD" w:rsidRDefault="005D75CD" w:rsidP="005D75CD">
            <w:pPr>
              <w:rPr>
                <w:b/>
              </w:rPr>
            </w:pPr>
            <w:r w:rsidRPr="005D75CD">
              <w:rPr>
                <w:b/>
              </w:rPr>
              <w:t>Timescales</w:t>
            </w:r>
          </w:p>
        </w:tc>
        <w:tc>
          <w:tcPr>
            <w:tcW w:w="2430" w:type="dxa"/>
            <w:shd w:val="clear" w:color="auto" w:fill="A6A6A6"/>
          </w:tcPr>
          <w:p w:rsidR="005D75CD" w:rsidRPr="005D75CD" w:rsidRDefault="005D75CD" w:rsidP="005D75CD">
            <w:pPr>
              <w:rPr>
                <w:b/>
              </w:rPr>
            </w:pPr>
            <w:r w:rsidRPr="005D75CD">
              <w:rPr>
                <w:b/>
              </w:rPr>
              <w:t>Progress (RAG)</w:t>
            </w:r>
          </w:p>
        </w:tc>
      </w:tr>
      <w:tr w:rsidR="005D75CD" w:rsidRPr="005D75CD" w:rsidTr="00725131">
        <w:tc>
          <w:tcPr>
            <w:tcW w:w="2841" w:type="dxa"/>
            <w:shd w:val="clear" w:color="auto" w:fill="D9D9D9"/>
          </w:tcPr>
          <w:p w:rsidR="005D75CD" w:rsidRPr="005D75CD" w:rsidRDefault="005D75CD" w:rsidP="005D75CD">
            <w:pPr>
              <w:rPr>
                <w:b/>
              </w:rPr>
            </w:pPr>
            <w:r w:rsidRPr="005D75CD">
              <w:rPr>
                <w:b/>
              </w:rPr>
              <w:t>Performance</w:t>
            </w:r>
          </w:p>
        </w:tc>
        <w:tc>
          <w:tcPr>
            <w:tcW w:w="3372" w:type="dxa"/>
            <w:shd w:val="clear" w:color="auto" w:fill="D9D9D9"/>
          </w:tcPr>
          <w:p w:rsidR="005D75CD" w:rsidRPr="005D75CD" w:rsidRDefault="005D75CD" w:rsidP="005D75CD">
            <w:pPr>
              <w:rPr>
                <w:b/>
              </w:rPr>
            </w:pPr>
          </w:p>
        </w:tc>
        <w:tc>
          <w:tcPr>
            <w:tcW w:w="2685" w:type="dxa"/>
            <w:shd w:val="clear" w:color="auto" w:fill="D9D9D9"/>
          </w:tcPr>
          <w:p w:rsidR="005D75CD" w:rsidRPr="005D75CD" w:rsidRDefault="005D75CD" w:rsidP="005D75CD">
            <w:pPr>
              <w:rPr>
                <w:b/>
              </w:rPr>
            </w:pPr>
          </w:p>
        </w:tc>
        <w:tc>
          <w:tcPr>
            <w:tcW w:w="2846" w:type="dxa"/>
            <w:shd w:val="clear" w:color="auto" w:fill="D9D9D9"/>
          </w:tcPr>
          <w:p w:rsidR="005D75CD" w:rsidRPr="005D75CD" w:rsidRDefault="005D75CD" w:rsidP="005D75CD">
            <w:pPr>
              <w:rPr>
                <w:b/>
              </w:rPr>
            </w:pPr>
          </w:p>
        </w:tc>
        <w:tc>
          <w:tcPr>
            <w:tcW w:w="2430" w:type="dxa"/>
            <w:shd w:val="clear" w:color="auto" w:fill="D9D9D9"/>
          </w:tcPr>
          <w:p w:rsidR="005D75CD" w:rsidRPr="005D75CD" w:rsidRDefault="005D75CD" w:rsidP="005D75CD">
            <w:pPr>
              <w:rPr>
                <w:b/>
              </w:rPr>
            </w:pPr>
          </w:p>
        </w:tc>
      </w:tr>
      <w:tr w:rsidR="005D75CD" w:rsidRPr="005D75CD" w:rsidTr="00725131">
        <w:tc>
          <w:tcPr>
            <w:tcW w:w="2841" w:type="dxa"/>
            <w:shd w:val="clear" w:color="auto" w:fill="auto"/>
          </w:tcPr>
          <w:p w:rsidR="005D75CD" w:rsidRPr="005D75CD" w:rsidRDefault="005D75CD" w:rsidP="005D75CD">
            <w:r w:rsidRPr="005D75CD">
              <w:t>Accuracy of Data</w:t>
            </w:r>
          </w:p>
        </w:tc>
        <w:tc>
          <w:tcPr>
            <w:tcW w:w="3372" w:type="dxa"/>
            <w:shd w:val="clear" w:color="auto" w:fill="auto"/>
          </w:tcPr>
          <w:p w:rsidR="005D75CD" w:rsidRPr="005D75CD" w:rsidRDefault="005D75CD" w:rsidP="005D75CD">
            <w:r w:rsidRPr="005D75CD">
              <w:t>Complete all appropriate data fields in Paris</w:t>
            </w:r>
          </w:p>
          <w:p w:rsidR="005D75CD" w:rsidRPr="005D75CD" w:rsidRDefault="005D75CD" w:rsidP="005D75CD"/>
        </w:tc>
        <w:tc>
          <w:tcPr>
            <w:tcW w:w="2685" w:type="dxa"/>
            <w:shd w:val="clear" w:color="auto" w:fill="auto"/>
          </w:tcPr>
          <w:p w:rsidR="005D75CD" w:rsidRPr="005D75CD" w:rsidRDefault="005D75CD" w:rsidP="005D75CD">
            <w:r w:rsidRPr="005D75CD">
              <w:t>Simon Giles/All Service Providers</w:t>
            </w:r>
          </w:p>
        </w:tc>
        <w:tc>
          <w:tcPr>
            <w:tcW w:w="2846" w:type="dxa"/>
            <w:shd w:val="clear" w:color="auto" w:fill="auto"/>
          </w:tcPr>
          <w:p w:rsidR="005D75CD" w:rsidRPr="005D75CD" w:rsidRDefault="005D75CD" w:rsidP="005D75CD">
            <w:r w:rsidRPr="005D75CD">
              <w:t>Ongoing</w:t>
            </w:r>
          </w:p>
        </w:tc>
        <w:tc>
          <w:tcPr>
            <w:tcW w:w="2430" w:type="dxa"/>
            <w:shd w:val="clear" w:color="auto" w:fill="FF0000"/>
          </w:tcPr>
          <w:p w:rsidR="005D75CD" w:rsidRPr="005D75CD" w:rsidRDefault="005D75CD" w:rsidP="005D75CD"/>
        </w:tc>
      </w:tr>
      <w:tr w:rsidR="005D75CD" w:rsidRPr="005D75CD" w:rsidTr="00725131">
        <w:tc>
          <w:tcPr>
            <w:tcW w:w="2841" w:type="dxa"/>
            <w:shd w:val="clear" w:color="auto" w:fill="auto"/>
          </w:tcPr>
          <w:p w:rsidR="005D75CD" w:rsidRPr="005D75CD" w:rsidRDefault="005D75CD" w:rsidP="005D75CD"/>
          <w:p w:rsidR="005D75CD" w:rsidRPr="005D75CD" w:rsidRDefault="005D75CD" w:rsidP="005D75CD"/>
          <w:p w:rsidR="005D75CD" w:rsidRPr="005D75CD" w:rsidRDefault="005D75CD" w:rsidP="005D75CD"/>
        </w:tc>
        <w:tc>
          <w:tcPr>
            <w:tcW w:w="3372" w:type="dxa"/>
            <w:shd w:val="clear" w:color="auto" w:fill="auto"/>
          </w:tcPr>
          <w:p w:rsidR="005D75CD" w:rsidRPr="005D75CD" w:rsidRDefault="005D75CD" w:rsidP="005D75CD">
            <w:r w:rsidRPr="005D75CD">
              <w:t>Close any gaps in client records.</w:t>
            </w:r>
          </w:p>
          <w:p w:rsidR="005D75CD" w:rsidRPr="005D75CD" w:rsidRDefault="005D75CD" w:rsidP="005D75CD"/>
          <w:p w:rsidR="005D75CD" w:rsidRPr="005D75CD" w:rsidRDefault="005D75CD" w:rsidP="005D75CD">
            <w:r w:rsidRPr="005D75CD">
              <w:t>Include in quarterly monitoring.</w:t>
            </w:r>
          </w:p>
        </w:tc>
        <w:tc>
          <w:tcPr>
            <w:tcW w:w="2685" w:type="dxa"/>
            <w:shd w:val="clear" w:color="auto" w:fill="auto"/>
          </w:tcPr>
          <w:p w:rsidR="005D75CD" w:rsidRPr="005D75CD" w:rsidRDefault="005D75CD" w:rsidP="005D75CD">
            <w:r w:rsidRPr="005D75CD">
              <w:t>Simon Giles/All Service Providers</w:t>
            </w:r>
          </w:p>
          <w:p w:rsidR="005D75CD" w:rsidRPr="005D75CD" w:rsidRDefault="005D75CD" w:rsidP="005D75CD"/>
          <w:p w:rsidR="005D75CD" w:rsidRPr="005D75CD" w:rsidRDefault="005D75CD" w:rsidP="005D75CD">
            <w:r w:rsidRPr="005D75CD">
              <w:t>Carl Williams</w:t>
            </w:r>
          </w:p>
        </w:tc>
        <w:tc>
          <w:tcPr>
            <w:tcW w:w="2846" w:type="dxa"/>
            <w:shd w:val="clear" w:color="auto" w:fill="auto"/>
          </w:tcPr>
          <w:p w:rsidR="005D75CD" w:rsidRPr="005D75CD" w:rsidRDefault="005D75CD" w:rsidP="005D75CD">
            <w:r w:rsidRPr="005D75CD">
              <w:t>Ongoing</w:t>
            </w:r>
          </w:p>
        </w:tc>
        <w:tc>
          <w:tcPr>
            <w:tcW w:w="2430" w:type="dxa"/>
            <w:shd w:val="clear" w:color="auto" w:fill="FF0000"/>
          </w:tcPr>
          <w:p w:rsidR="005D75CD" w:rsidRPr="005D75CD" w:rsidRDefault="005D75CD" w:rsidP="005D75CD"/>
        </w:tc>
      </w:tr>
      <w:tr w:rsidR="005D75CD" w:rsidRPr="005D75CD" w:rsidTr="00725131">
        <w:tc>
          <w:tcPr>
            <w:tcW w:w="2841" w:type="dxa"/>
            <w:shd w:val="clear" w:color="auto" w:fill="auto"/>
          </w:tcPr>
          <w:p w:rsidR="005D75CD" w:rsidRPr="005D75CD" w:rsidRDefault="005D75CD" w:rsidP="005D75CD">
            <w:r w:rsidRPr="005D75CD">
              <w:t>NKPI Performance exceeds targets</w:t>
            </w:r>
          </w:p>
          <w:p w:rsidR="005D75CD" w:rsidRPr="005D75CD" w:rsidRDefault="005D75CD" w:rsidP="005D75CD"/>
          <w:p w:rsidR="005D75CD" w:rsidRPr="005D75CD" w:rsidRDefault="005D75CD" w:rsidP="005D75CD"/>
        </w:tc>
        <w:tc>
          <w:tcPr>
            <w:tcW w:w="3372" w:type="dxa"/>
            <w:shd w:val="clear" w:color="auto" w:fill="auto"/>
          </w:tcPr>
          <w:p w:rsidR="005D75CD" w:rsidRPr="005D75CD" w:rsidRDefault="005D75CD" w:rsidP="005D75CD">
            <w:r w:rsidRPr="005D75CD">
              <w:t>Improve performance across all NKPI’s but specifically for NKPI 1 and NKPI 5.</w:t>
            </w:r>
          </w:p>
        </w:tc>
        <w:tc>
          <w:tcPr>
            <w:tcW w:w="2685" w:type="dxa"/>
            <w:shd w:val="clear" w:color="auto" w:fill="auto"/>
          </w:tcPr>
          <w:p w:rsidR="005D75CD" w:rsidRPr="005D75CD" w:rsidRDefault="005D75CD" w:rsidP="005D75CD">
            <w:r w:rsidRPr="005D75CD">
              <w:t>All Sub Group Members</w:t>
            </w:r>
          </w:p>
        </w:tc>
        <w:tc>
          <w:tcPr>
            <w:tcW w:w="2846" w:type="dxa"/>
            <w:shd w:val="clear" w:color="auto" w:fill="auto"/>
          </w:tcPr>
          <w:p w:rsidR="005D75CD" w:rsidRPr="005D75CD" w:rsidRDefault="005D75CD" w:rsidP="005D75CD">
            <w:r w:rsidRPr="005D75CD">
              <w:t>Ongoing</w:t>
            </w:r>
          </w:p>
        </w:tc>
        <w:tc>
          <w:tcPr>
            <w:tcW w:w="2430" w:type="dxa"/>
            <w:shd w:val="clear" w:color="auto" w:fill="FF0000"/>
          </w:tcPr>
          <w:p w:rsidR="005D75CD" w:rsidRPr="005D75CD" w:rsidRDefault="005D75CD" w:rsidP="005D75CD"/>
        </w:tc>
      </w:tr>
      <w:tr w:rsidR="005D75CD" w:rsidRPr="005D75CD" w:rsidTr="00725131">
        <w:tc>
          <w:tcPr>
            <w:tcW w:w="2841" w:type="dxa"/>
            <w:shd w:val="clear" w:color="auto" w:fill="auto"/>
          </w:tcPr>
          <w:p w:rsidR="005D75CD" w:rsidRPr="005D75CD" w:rsidRDefault="005D75CD" w:rsidP="005D75CD">
            <w:r w:rsidRPr="005D75CD">
              <w:t>High standards of service performance</w:t>
            </w:r>
          </w:p>
          <w:p w:rsidR="005D75CD" w:rsidRPr="005D75CD" w:rsidRDefault="005D75CD" w:rsidP="005D75CD"/>
          <w:p w:rsidR="005D75CD" w:rsidRPr="005D75CD" w:rsidRDefault="005D75CD" w:rsidP="005D75CD"/>
        </w:tc>
        <w:tc>
          <w:tcPr>
            <w:tcW w:w="3372" w:type="dxa"/>
            <w:shd w:val="clear" w:color="auto" w:fill="auto"/>
          </w:tcPr>
          <w:p w:rsidR="005D75CD" w:rsidRPr="005D75CD" w:rsidRDefault="005D75CD" w:rsidP="005D75CD">
            <w:r w:rsidRPr="005D75CD">
              <w:t>Conduct regular monitoring of service providers</w:t>
            </w:r>
          </w:p>
        </w:tc>
        <w:tc>
          <w:tcPr>
            <w:tcW w:w="2685" w:type="dxa"/>
            <w:shd w:val="clear" w:color="auto" w:fill="auto"/>
          </w:tcPr>
          <w:p w:rsidR="005D75CD" w:rsidRPr="005D75CD" w:rsidRDefault="005D75CD" w:rsidP="005D75CD">
            <w:r w:rsidRPr="005D75CD">
              <w:t>Carl Williams</w:t>
            </w:r>
          </w:p>
        </w:tc>
        <w:tc>
          <w:tcPr>
            <w:tcW w:w="2846" w:type="dxa"/>
            <w:shd w:val="clear" w:color="auto" w:fill="auto"/>
          </w:tcPr>
          <w:p w:rsidR="005D75CD" w:rsidRPr="005D75CD" w:rsidRDefault="005D75CD" w:rsidP="005D75CD">
            <w:r w:rsidRPr="005D75CD">
              <w:t>Quarterly</w:t>
            </w:r>
          </w:p>
        </w:tc>
        <w:tc>
          <w:tcPr>
            <w:tcW w:w="2430" w:type="dxa"/>
            <w:shd w:val="clear" w:color="auto" w:fill="00B050"/>
          </w:tcPr>
          <w:p w:rsidR="005D75CD" w:rsidRPr="005D75CD" w:rsidRDefault="005D75CD" w:rsidP="005D75CD"/>
        </w:tc>
      </w:tr>
      <w:tr w:rsidR="005D75CD" w:rsidRPr="005D75CD" w:rsidTr="00725131">
        <w:tc>
          <w:tcPr>
            <w:tcW w:w="2841" w:type="dxa"/>
            <w:shd w:val="clear" w:color="auto" w:fill="auto"/>
          </w:tcPr>
          <w:p w:rsidR="005D75CD" w:rsidRPr="005D75CD" w:rsidRDefault="005D75CD" w:rsidP="005D75CD">
            <w:r w:rsidRPr="005D75CD">
              <w:t>Provider action plans include NKPI performance</w:t>
            </w:r>
          </w:p>
          <w:p w:rsidR="005D75CD" w:rsidRPr="005D75CD" w:rsidRDefault="005D75CD" w:rsidP="005D75CD"/>
          <w:p w:rsidR="005D75CD" w:rsidRPr="005D75CD" w:rsidRDefault="005D75CD" w:rsidP="005D75CD"/>
          <w:p w:rsidR="005D75CD" w:rsidRPr="005D75CD" w:rsidRDefault="005D75CD" w:rsidP="005D75CD"/>
          <w:p w:rsidR="005D75CD" w:rsidRPr="005D75CD" w:rsidRDefault="005D75CD" w:rsidP="005D75CD"/>
          <w:p w:rsidR="005D75CD" w:rsidRPr="005D75CD" w:rsidRDefault="005D75CD" w:rsidP="005D75CD"/>
        </w:tc>
        <w:tc>
          <w:tcPr>
            <w:tcW w:w="3372" w:type="dxa"/>
            <w:shd w:val="clear" w:color="auto" w:fill="auto"/>
          </w:tcPr>
          <w:p w:rsidR="005D75CD" w:rsidRPr="005D75CD" w:rsidRDefault="005D75CD" w:rsidP="005D75CD">
            <w:r w:rsidRPr="005D75CD">
              <w:t>Service providers have plans in place to improve NKPI performance</w:t>
            </w:r>
          </w:p>
          <w:p w:rsidR="005D75CD" w:rsidRPr="005D75CD" w:rsidRDefault="005D75CD" w:rsidP="005D75CD"/>
          <w:p w:rsidR="005D75CD" w:rsidRPr="005D75CD" w:rsidRDefault="005D75CD" w:rsidP="005D75CD"/>
          <w:p w:rsidR="005D75CD" w:rsidRPr="005D75CD" w:rsidRDefault="005D75CD" w:rsidP="005D75CD"/>
          <w:p w:rsidR="005D75CD" w:rsidRPr="005D75CD" w:rsidRDefault="005D75CD" w:rsidP="005D75CD"/>
        </w:tc>
        <w:tc>
          <w:tcPr>
            <w:tcW w:w="2685" w:type="dxa"/>
            <w:shd w:val="clear" w:color="auto" w:fill="auto"/>
          </w:tcPr>
          <w:p w:rsidR="005D75CD" w:rsidRPr="005D75CD" w:rsidRDefault="005D75CD" w:rsidP="005D75CD">
            <w:r w:rsidRPr="005D75CD">
              <w:t>Carl Williams</w:t>
            </w:r>
          </w:p>
        </w:tc>
        <w:tc>
          <w:tcPr>
            <w:tcW w:w="2846" w:type="dxa"/>
            <w:shd w:val="clear" w:color="auto" w:fill="auto"/>
          </w:tcPr>
          <w:p w:rsidR="005D75CD" w:rsidRPr="005D75CD" w:rsidRDefault="005D75CD" w:rsidP="005D75CD">
            <w:r w:rsidRPr="005D75CD">
              <w:t>Quarterly</w:t>
            </w:r>
          </w:p>
        </w:tc>
        <w:tc>
          <w:tcPr>
            <w:tcW w:w="2430" w:type="dxa"/>
            <w:shd w:val="clear" w:color="auto" w:fill="FF0000"/>
          </w:tcPr>
          <w:p w:rsidR="005D75CD" w:rsidRPr="005D75CD" w:rsidRDefault="005D75CD" w:rsidP="005D75CD"/>
        </w:tc>
      </w:tr>
      <w:tr w:rsidR="005D75CD" w:rsidRPr="005D75CD" w:rsidTr="00725131">
        <w:tc>
          <w:tcPr>
            <w:tcW w:w="2841" w:type="dxa"/>
            <w:shd w:val="clear" w:color="auto" w:fill="D9D9D9"/>
          </w:tcPr>
          <w:p w:rsidR="005D75CD" w:rsidRPr="005D75CD" w:rsidRDefault="005D75CD" w:rsidP="005D75CD">
            <w:r w:rsidRPr="005D75CD">
              <w:t>Development</w:t>
            </w:r>
          </w:p>
        </w:tc>
        <w:tc>
          <w:tcPr>
            <w:tcW w:w="3372" w:type="dxa"/>
            <w:shd w:val="clear" w:color="auto" w:fill="D9D9D9"/>
          </w:tcPr>
          <w:p w:rsidR="005D75CD" w:rsidRPr="005D75CD" w:rsidRDefault="005D75CD" w:rsidP="005D75CD"/>
        </w:tc>
        <w:tc>
          <w:tcPr>
            <w:tcW w:w="2685" w:type="dxa"/>
            <w:shd w:val="clear" w:color="auto" w:fill="D9D9D9"/>
          </w:tcPr>
          <w:p w:rsidR="005D75CD" w:rsidRPr="005D75CD" w:rsidRDefault="005D75CD" w:rsidP="005D75CD"/>
        </w:tc>
        <w:tc>
          <w:tcPr>
            <w:tcW w:w="2846" w:type="dxa"/>
            <w:shd w:val="clear" w:color="auto" w:fill="D9D9D9"/>
          </w:tcPr>
          <w:p w:rsidR="005D75CD" w:rsidRPr="005D75CD" w:rsidRDefault="005D75CD" w:rsidP="005D75CD"/>
        </w:tc>
        <w:tc>
          <w:tcPr>
            <w:tcW w:w="2430" w:type="dxa"/>
            <w:shd w:val="clear" w:color="auto" w:fill="D9D9D9"/>
          </w:tcPr>
          <w:p w:rsidR="005D75CD" w:rsidRPr="005D75CD" w:rsidRDefault="005D75CD" w:rsidP="005D75CD"/>
        </w:tc>
      </w:tr>
      <w:tr w:rsidR="005D75CD" w:rsidRPr="005D75CD" w:rsidTr="00725131">
        <w:tc>
          <w:tcPr>
            <w:tcW w:w="2841" w:type="dxa"/>
            <w:shd w:val="clear" w:color="auto" w:fill="auto"/>
          </w:tcPr>
          <w:p w:rsidR="005D75CD" w:rsidRPr="005D75CD" w:rsidRDefault="005D75CD" w:rsidP="005D75CD"/>
          <w:p w:rsidR="005D75CD" w:rsidRPr="005D75CD" w:rsidRDefault="005D75CD" w:rsidP="005D75CD">
            <w:r w:rsidRPr="005D75CD">
              <w:t>Contribute to potential change of KPI reporting.</w:t>
            </w:r>
          </w:p>
          <w:p w:rsidR="005D75CD" w:rsidRPr="005D75CD" w:rsidRDefault="005D75CD" w:rsidP="005D75CD"/>
        </w:tc>
        <w:tc>
          <w:tcPr>
            <w:tcW w:w="3372" w:type="dxa"/>
            <w:shd w:val="clear" w:color="auto" w:fill="auto"/>
          </w:tcPr>
          <w:p w:rsidR="005D75CD" w:rsidRPr="005D75CD" w:rsidRDefault="005D75CD" w:rsidP="005D75CD"/>
          <w:p w:rsidR="005D75CD" w:rsidRPr="005D75CD" w:rsidRDefault="005D75CD" w:rsidP="005D75CD">
            <w:r w:rsidRPr="005D75CD">
              <w:t>Draft a report to Welsh Government identifying key issues with data systems.</w:t>
            </w:r>
          </w:p>
        </w:tc>
        <w:tc>
          <w:tcPr>
            <w:tcW w:w="2685" w:type="dxa"/>
            <w:shd w:val="clear" w:color="auto" w:fill="auto"/>
          </w:tcPr>
          <w:p w:rsidR="005D75CD" w:rsidRPr="005D75CD" w:rsidRDefault="005D75CD" w:rsidP="005D75CD"/>
          <w:p w:rsidR="005D75CD" w:rsidRPr="005D75CD" w:rsidRDefault="005D75CD" w:rsidP="005D75CD">
            <w:r w:rsidRPr="005D75CD">
              <w:t>Simon Giles/ Carl Williams.</w:t>
            </w:r>
          </w:p>
        </w:tc>
        <w:tc>
          <w:tcPr>
            <w:tcW w:w="2846" w:type="dxa"/>
            <w:shd w:val="clear" w:color="auto" w:fill="auto"/>
          </w:tcPr>
          <w:p w:rsidR="005D75CD" w:rsidRPr="005D75CD" w:rsidRDefault="005D75CD" w:rsidP="005D75CD"/>
          <w:p w:rsidR="005D75CD" w:rsidRPr="005D75CD" w:rsidRDefault="005D75CD" w:rsidP="005D75CD">
            <w:r w:rsidRPr="005D75CD">
              <w:t>By end July 2016</w:t>
            </w:r>
          </w:p>
        </w:tc>
        <w:tc>
          <w:tcPr>
            <w:tcW w:w="2430" w:type="dxa"/>
            <w:shd w:val="clear" w:color="auto" w:fill="E36C0A"/>
            <w:vAlign w:val="bottom"/>
          </w:tcPr>
          <w:p w:rsidR="005D75CD" w:rsidRPr="005D75CD" w:rsidRDefault="005D75CD" w:rsidP="005D75CD"/>
        </w:tc>
      </w:tr>
      <w:tr w:rsidR="005D75CD" w:rsidRPr="005D75CD" w:rsidTr="00725131">
        <w:tc>
          <w:tcPr>
            <w:tcW w:w="2841" w:type="dxa"/>
            <w:shd w:val="clear" w:color="auto" w:fill="auto"/>
          </w:tcPr>
          <w:p w:rsidR="005D75CD" w:rsidRPr="005D75CD" w:rsidRDefault="005D75CD" w:rsidP="005D75CD">
            <w:r w:rsidRPr="005D75CD">
              <w:t>Reduce numbers of clients DNA’ing.</w:t>
            </w:r>
          </w:p>
        </w:tc>
        <w:tc>
          <w:tcPr>
            <w:tcW w:w="3372" w:type="dxa"/>
            <w:shd w:val="clear" w:color="auto" w:fill="auto"/>
          </w:tcPr>
          <w:p w:rsidR="005D75CD" w:rsidRPr="005D75CD" w:rsidRDefault="005D75CD" w:rsidP="005D75CD">
            <w:r w:rsidRPr="005D75CD">
              <w:t>Trial pre-engagement courses with clients to help to reduce potential later DNA’s.</w:t>
            </w:r>
          </w:p>
        </w:tc>
        <w:tc>
          <w:tcPr>
            <w:tcW w:w="2685" w:type="dxa"/>
            <w:shd w:val="clear" w:color="auto" w:fill="auto"/>
          </w:tcPr>
          <w:p w:rsidR="005D75CD" w:rsidRPr="005D75CD" w:rsidRDefault="005D75CD" w:rsidP="005D75CD">
            <w:r w:rsidRPr="005D75CD">
              <w:t>Service Providers</w:t>
            </w:r>
          </w:p>
        </w:tc>
        <w:tc>
          <w:tcPr>
            <w:tcW w:w="2846" w:type="dxa"/>
            <w:shd w:val="clear" w:color="auto" w:fill="auto"/>
          </w:tcPr>
          <w:p w:rsidR="005D75CD" w:rsidRPr="005D75CD" w:rsidRDefault="005D75CD" w:rsidP="005D75CD">
            <w:r w:rsidRPr="005D75CD">
              <w:t>Review at end of Sept 2016.</w:t>
            </w:r>
          </w:p>
        </w:tc>
        <w:tc>
          <w:tcPr>
            <w:tcW w:w="2430" w:type="dxa"/>
            <w:shd w:val="clear" w:color="auto" w:fill="FF0000"/>
          </w:tcPr>
          <w:p w:rsidR="005D75CD" w:rsidRPr="005D75CD" w:rsidRDefault="005D75CD" w:rsidP="005D75CD"/>
        </w:tc>
      </w:tr>
      <w:tr w:rsidR="005D75CD" w:rsidRPr="005D75CD" w:rsidTr="00725131">
        <w:tc>
          <w:tcPr>
            <w:tcW w:w="2841" w:type="dxa"/>
            <w:shd w:val="clear" w:color="auto" w:fill="auto"/>
          </w:tcPr>
          <w:p w:rsidR="005D75CD" w:rsidRPr="005D75CD" w:rsidRDefault="005D75CD" w:rsidP="005D75CD"/>
        </w:tc>
        <w:tc>
          <w:tcPr>
            <w:tcW w:w="3372" w:type="dxa"/>
            <w:shd w:val="clear" w:color="auto" w:fill="auto"/>
          </w:tcPr>
          <w:p w:rsidR="005D75CD" w:rsidRPr="005D75CD" w:rsidRDefault="005D75CD" w:rsidP="005D75CD"/>
          <w:p w:rsidR="005D75CD" w:rsidRPr="005D75CD" w:rsidRDefault="005D75CD" w:rsidP="005D75CD">
            <w:r w:rsidRPr="005D75CD">
              <w:t>Implement NEWID Service User Attendance Agreement</w:t>
            </w:r>
          </w:p>
          <w:p w:rsidR="005D75CD" w:rsidRPr="005D75CD" w:rsidRDefault="005D75CD" w:rsidP="005D75CD"/>
          <w:p w:rsidR="005D75CD" w:rsidRPr="005D75CD" w:rsidRDefault="005D75CD" w:rsidP="005D75CD"/>
        </w:tc>
        <w:tc>
          <w:tcPr>
            <w:tcW w:w="2685" w:type="dxa"/>
            <w:shd w:val="clear" w:color="auto" w:fill="auto"/>
          </w:tcPr>
          <w:p w:rsidR="005D75CD" w:rsidRPr="005D75CD" w:rsidRDefault="005D75CD" w:rsidP="005D75CD"/>
          <w:p w:rsidR="005D75CD" w:rsidRPr="005D75CD" w:rsidRDefault="005D75CD" w:rsidP="005D75CD">
            <w:r w:rsidRPr="005D75CD">
              <w:t>Service Providers</w:t>
            </w:r>
          </w:p>
        </w:tc>
        <w:tc>
          <w:tcPr>
            <w:tcW w:w="2846" w:type="dxa"/>
            <w:shd w:val="clear" w:color="auto" w:fill="auto"/>
          </w:tcPr>
          <w:p w:rsidR="005D75CD" w:rsidRPr="005D75CD" w:rsidRDefault="005D75CD" w:rsidP="005D75CD"/>
          <w:p w:rsidR="005D75CD" w:rsidRPr="005D75CD" w:rsidRDefault="005D75CD" w:rsidP="005D75CD">
            <w:r w:rsidRPr="005D75CD">
              <w:t>Review at end of Oct 2016.</w:t>
            </w:r>
          </w:p>
        </w:tc>
        <w:tc>
          <w:tcPr>
            <w:tcW w:w="2430" w:type="dxa"/>
            <w:shd w:val="clear" w:color="auto" w:fill="FF0000"/>
          </w:tcPr>
          <w:p w:rsidR="005D75CD" w:rsidRPr="005D75CD" w:rsidRDefault="005D75CD" w:rsidP="005D75CD"/>
        </w:tc>
      </w:tr>
      <w:tr w:rsidR="005D75CD" w:rsidRPr="005D75CD" w:rsidTr="00725131">
        <w:tc>
          <w:tcPr>
            <w:tcW w:w="2841" w:type="dxa"/>
            <w:shd w:val="clear" w:color="auto" w:fill="D9D9D9"/>
          </w:tcPr>
          <w:p w:rsidR="005D75CD" w:rsidRPr="005D75CD" w:rsidRDefault="005D75CD" w:rsidP="005D75CD">
            <w:r w:rsidRPr="005D75CD">
              <w:t>Training</w:t>
            </w:r>
          </w:p>
        </w:tc>
        <w:tc>
          <w:tcPr>
            <w:tcW w:w="3372" w:type="dxa"/>
            <w:shd w:val="clear" w:color="auto" w:fill="D9D9D9"/>
          </w:tcPr>
          <w:p w:rsidR="005D75CD" w:rsidRPr="005D75CD" w:rsidRDefault="005D75CD" w:rsidP="005D75CD"/>
        </w:tc>
        <w:tc>
          <w:tcPr>
            <w:tcW w:w="2685" w:type="dxa"/>
            <w:shd w:val="clear" w:color="auto" w:fill="D9D9D9"/>
          </w:tcPr>
          <w:p w:rsidR="005D75CD" w:rsidRPr="005D75CD" w:rsidRDefault="005D75CD" w:rsidP="005D75CD"/>
        </w:tc>
        <w:tc>
          <w:tcPr>
            <w:tcW w:w="2846" w:type="dxa"/>
            <w:shd w:val="clear" w:color="auto" w:fill="D9D9D9"/>
          </w:tcPr>
          <w:p w:rsidR="005D75CD" w:rsidRPr="005D75CD" w:rsidRDefault="005D75CD" w:rsidP="005D75CD"/>
        </w:tc>
        <w:tc>
          <w:tcPr>
            <w:tcW w:w="2430" w:type="dxa"/>
            <w:shd w:val="clear" w:color="auto" w:fill="D9D9D9"/>
            <w:vAlign w:val="bottom"/>
          </w:tcPr>
          <w:p w:rsidR="005D75CD" w:rsidRPr="005D75CD" w:rsidRDefault="005D75CD" w:rsidP="005D75CD"/>
        </w:tc>
      </w:tr>
      <w:tr w:rsidR="005D75CD" w:rsidRPr="005D75CD" w:rsidTr="00725131">
        <w:tc>
          <w:tcPr>
            <w:tcW w:w="2841" w:type="dxa"/>
            <w:shd w:val="clear" w:color="auto" w:fill="auto"/>
          </w:tcPr>
          <w:p w:rsidR="005D75CD" w:rsidRPr="005D75CD" w:rsidRDefault="005D75CD" w:rsidP="005D75CD">
            <w:r w:rsidRPr="005D75CD">
              <w:t>All PARIS users are trained on its use.</w:t>
            </w:r>
          </w:p>
          <w:p w:rsidR="005D75CD" w:rsidRPr="005D75CD" w:rsidRDefault="005D75CD" w:rsidP="005D75CD"/>
          <w:p w:rsidR="005D75CD" w:rsidRPr="005D75CD" w:rsidRDefault="005D75CD" w:rsidP="005D75CD"/>
        </w:tc>
        <w:tc>
          <w:tcPr>
            <w:tcW w:w="3372" w:type="dxa"/>
            <w:shd w:val="clear" w:color="auto" w:fill="auto"/>
          </w:tcPr>
          <w:p w:rsidR="005D75CD" w:rsidRPr="005D75CD" w:rsidRDefault="005D75CD" w:rsidP="005D75CD">
            <w:r w:rsidRPr="005D75CD">
              <w:t>Provide regular PARIS training.</w:t>
            </w:r>
          </w:p>
        </w:tc>
        <w:tc>
          <w:tcPr>
            <w:tcW w:w="2685" w:type="dxa"/>
            <w:shd w:val="clear" w:color="auto" w:fill="auto"/>
          </w:tcPr>
          <w:p w:rsidR="005D75CD" w:rsidRPr="005D75CD" w:rsidRDefault="005D75CD" w:rsidP="005D75CD">
            <w:r w:rsidRPr="005D75CD">
              <w:t>Simon Giles</w:t>
            </w:r>
          </w:p>
        </w:tc>
        <w:tc>
          <w:tcPr>
            <w:tcW w:w="2846" w:type="dxa"/>
            <w:shd w:val="clear" w:color="auto" w:fill="auto"/>
          </w:tcPr>
          <w:p w:rsidR="005D75CD" w:rsidRPr="005D75CD" w:rsidRDefault="005D75CD" w:rsidP="005D75CD">
            <w:r w:rsidRPr="005D75CD">
              <w:t>Ongoing</w:t>
            </w:r>
          </w:p>
        </w:tc>
        <w:tc>
          <w:tcPr>
            <w:tcW w:w="2430" w:type="dxa"/>
            <w:shd w:val="clear" w:color="auto" w:fill="00B050"/>
          </w:tcPr>
          <w:p w:rsidR="005D75CD" w:rsidRPr="005D75CD" w:rsidRDefault="005D75CD" w:rsidP="005D75CD"/>
        </w:tc>
      </w:tr>
      <w:tr w:rsidR="005D75CD" w:rsidRPr="005D75CD" w:rsidTr="00725131">
        <w:tc>
          <w:tcPr>
            <w:tcW w:w="2841" w:type="dxa"/>
            <w:tcBorders>
              <w:bottom w:val="single" w:sz="4" w:space="0" w:color="auto"/>
            </w:tcBorders>
            <w:shd w:val="clear" w:color="auto" w:fill="D9D9D9"/>
          </w:tcPr>
          <w:p w:rsidR="005D75CD" w:rsidRPr="005D75CD" w:rsidRDefault="005D75CD" w:rsidP="005D75CD">
            <w:r w:rsidRPr="005D75CD">
              <w:t xml:space="preserve">Communication and Engagement </w:t>
            </w:r>
          </w:p>
        </w:tc>
        <w:tc>
          <w:tcPr>
            <w:tcW w:w="3372" w:type="dxa"/>
            <w:tcBorders>
              <w:bottom w:val="single" w:sz="4" w:space="0" w:color="auto"/>
            </w:tcBorders>
            <w:shd w:val="clear" w:color="auto" w:fill="D9D9D9"/>
          </w:tcPr>
          <w:p w:rsidR="005D75CD" w:rsidRPr="005D75CD" w:rsidRDefault="005D75CD" w:rsidP="005D75CD"/>
        </w:tc>
        <w:tc>
          <w:tcPr>
            <w:tcW w:w="2685" w:type="dxa"/>
            <w:tcBorders>
              <w:bottom w:val="single" w:sz="4" w:space="0" w:color="auto"/>
            </w:tcBorders>
            <w:shd w:val="clear" w:color="auto" w:fill="D9D9D9"/>
          </w:tcPr>
          <w:p w:rsidR="005D75CD" w:rsidRPr="005D75CD" w:rsidRDefault="005D75CD" w:rsidP="005D75CD"/>
        </w:tc>
        <w:tc>
          <w:tcPr>
            <w:tcW w:w="2846" w:type="dxa"/>
            <w:tcBorders>
              <w:bottom w:val="single" w:sz="4" w:space="0" w:color="auto"/>
            </w:tcBorders>
            <w:shd w:val="clear" w:color="auto" w:fill="D9D9D9"/>
          </w:tcPr>
          <w:p w:rsidR="005D75CD" w:rsidRPr="005D75CD" w:rsidRDefault="005D75CD" w:rsidP="005D75CD"/>
        </w:tc>
        <w:tc>
          <w:tcPr>
            <w:tcW w:w="2430" w:type="dxa"/>
            <w:shd w:val="clear" w:color="auto" w:fill="D9D9D9"/>
          </w:tcPr>
          <w:p w:rsidR="005D75CD" w:rsidRPr="005D75CD" w:rsidRDefault="005D75CD" w:rsidP="005D75CD"/>
        </w:tc>
      </w:tr>
      <w:tr w:rsidR="005D75CD" w:rsidRPr="005D75CD" w:rsidTr="00725131">
        <w:tc>
          <w:tcPr>
            <w:tcW w:w="2841" w:type="dxa"/>
            <w:shd w:val="clear" w:color="auto" w:fill="auto"/>
          </w:tcPr>
          <w:p w:rsidR="005D75CD" w:rsidRPr="005D75CD" w:rsidRDefault="005D75CD" w:rsidP="005D75CD">
            <w:r w:rsidRPr="005D75CD">
              <w:t>Ensure effective communication and engagement arrangements are in place.</w:t>
            </w:r>
          </w:p>
          <w:p w:rsidR="005D75CD" w:rsidRPr="005D75CD" w:rsidRDefault="005D75CD" w:rsidP="005D75CD"/>
        </w:tc>
        <w:tc>
          <w:tcPr>
            <w:tcW w:w="3372" w:type="dxa"/>
            <w:shd w:val="clear" w:color="auto" w:fill="auto"/>
          </w:tcPr>
          <w:p w:rsidR="005D75CD" w:rsidRPr="005D75CD" w:rsidRDefault="005D75CD" w:rsidP="005D75CD">
            <w:r w:rsidRPr="005D75CD">
              <w:t>Share PARIS related issues with the APB Regional Support Team</w:t>
            </w:r>
          </w:p>
          <w:p w:rsidR="005D75CD" w:rsidRPr="005D75CD" w:rsidRDefault="005D75CD" w:rsidP="005D75CD"/>
        </w:tc>
        <w:tc>
          <w:tcPr>
            <w:tcW w:w="2685" w:type="dxa"/>
            <w:shd w:val="clear" w:color="auto" w:fill="auto"/>
          </w:tcPr>
          <w:p w:rsidR="005D75CD" w:rsidRPr="005D75CD" w:rsidRDefault="005D75CD" w:rsidP="005D75CD">
            <w:r w:rsidRPr="005D75CD">
              <w:t>All Sub Group Members</w:t>
            </w:r>
          </w:p>
        </w:tc>
        <w:tc>
          <w:tcPr>
            <w:tcW w:w="2846" w:type="dxa"/>
            <w:shd w:val="clear" w:color="auto" w:fill="auto"/>
          </w:tcPr>
          <w:p w:rsidR="005D75CD" w:rsidRPr="005D75CD" w:rsidRDefault="005D75CD" w:rsidP="005D75CD">
            <w:r w:rsidRPr="005D75CD">
              <w:t>Ongoing</w:t>
            </w:r>
          </w:p>
        </w:tc>
        <w:tc>
          <w:tcPr>
            <w:tcW w:w="2430" w:type="dxa"/>
            <w:shd w:val="clear" w:color="auto" w:fill="00B050"/>
          </w:tcPr>
          <w:p w:rsidR="005D75CD" w:rsidRPr="005D75CD" w:rsidRDefault="005D75CD" w:rsidP="005D75CD"/>
        </w:tc>
      </w:tr>
      <w:tr w:rsidR="005D75CD" w:rsidRPr="005D75CD" w:rsidTr="00725131">
        <w:tc>
          <w:tcPr>
            <w:tcW w:w="2841" w:type="dxa"/>
            <w:shd w:val="clear" w:color="auto" w:fill="auto"/>
          </w:tcPr>
          <w:p w:rsidR="005D75CD" w:rsidRPr="005D75CD" w:rsidRDefault="005D75CD" w:rsidP="005D75CD">
            <w:r w:rsidRPr="005D75CD">
              <w:t>Ensure that the APB contributes to relevant consultation documents</w:t>
            </w:r>
          </w:p>
          <w:p w:rsidR="005D75CD" w:rsidRPr="005D75CD" w:rsidRDefault="005D75CD" w:rsidP="005D75CD"/>
        </w:tc>
        <w:tc>
          <w:tcPr>
            <w:tcW w:w="3372" w:type="dxa"/>
            <w:shd w:val="clear" w:color="auto" w:fill="auto"/>
          </w:tcPr>
          <w:p w:rsidR="005D75CD" w:rsidRPr="005D75CD" w:rsidRDefault="005D75CD" w:rsidP="005D75CD">
            <w:r w:rsidRPr="005D75CD">
              <w:t>Respond to national consultations affecting substance misuse issues</w:t>
            </w:r>
          </w:p>
        </w:tc>
        <w:tc>
          <w:tcPr>
            <w:tcW w:w="2685" w:type="dxa"/>
            <w:shd w:val="clear" w:color="auto" w:fill="auto"/>
          </w:tcPr>
          <w:p w:rsidR="005D75CD" w:rsidRPr="005D75CD" w:rsidRDefault="005D75CD" w:rsidP="005D75CD">
            <w:r w:rsidRPr="005D75CD">
              <w:t>Steve Adie, Simon Giles, Carl Williams</w:t>
            </w:r>
          </w:p>
        </w:tc>
        <w:tc>
          <w:tcPr>
            <w:tcW w:w="2846" w:type="dxa"/>
            <w:shd w:val="clear" w:color="auto" w:fill="auto"/>
          </w:tcPr>
          <w:p w:rsidR="005D75CD" w:rsidRPr="005D75CD" w:rsidRDefault="005D75CD" w:rsidP="005D75CD">
            <w:r w:rsidRPr="005D75CD">
              <w:t>Ongoing</w:t>
            </w:r>
          </w:p>
        </w:tc>
        <w:tc>
          <w:tcPr>
            <w:tcW w:w="2430" w:type="dxa"/>
            <w:shd w:val="clear" w:color="auto" w:fill="00B050"/>
          </w:tcPr>
          <w:p w:rsidR="005D75CD" w:rsidRPr="005D75CD" w:rsidRDefault="005D75CD" w:rsidP="005D75CD"/>
        </w:tc>
      </w:tr>
      <w:tr w:rsidR="005D75CD" w:rsidRPr="005D75CD" w:rsidTr="00725131">
        <w:tc>
          <w:tcPr>
            <w:tcW w:w="2841" w:type="dxa"/>
            <w:shd w:val="clear" w:color="auto" w:fill="auto"/>
          </w:tcPr>
          <w:p w:rsidR="005D75CD" w:rsidRPr="005D75CD" w:rsidRDefault="005D75CD" w:rsidP="005D75CD">
            <w:r w:rsidRPr="005D75CD">
              <w:t>Ensure that links are maintained between the APB and other relevant partnerships</w:t>
            </w:r>
          </w:p>
        </w:tc>
        <w:tc>
          <w:tcPr>
            <w:tcW w:w="3372" w:type="dxa"/>
            <w:shd w:val="clear" w:color="auto" w:fill="auto"/>
          </w:tcPr>
          <w:p w:rsidR="005D75CD" w:rsidRPr="005D75CD" w:rsidRDefault="005D75CD" w:rsidP="005D75CD">
            <w:r w:rsidRPr="005D75CD">
              <w:t>Contribute to other groups (CSP’s, Regional Collaborative Committee’s etc.) to advise on the work of the APB</w:t>
            </w:r>
          </w:p>
        </w:tc>
        <w:tc>
          <w:tcPr>
            <w:tcW w:w="2685" w:type="dxa"/>
            <w:shd w:val="clear" w:color="auto" w:fill="auto"/>
          </w:tcPr>
          <w:p w:rsidR="005D75CD" w:rsidRPr="005D75CD" w:rsidRDefault="005D75CD" w:rsidP="005D75CD">
            <w:r w:rsidRPr="005D75CD">
              <w:t>Steve Adie</w:t>
            </w:r>
          </w:p>
        </w:tc>
        <w:tc>
          <w:tcPr>
            <w:tcW w:w="2846" w:type="dxa"/>
            <w:shd w:val="clear" w:color="auto" w:fill="auto"/>
          </w:tcPr>
          <w:p w:rsidR="005D75CD" w:rsidRPr="005D75CD" w:rsidRDefault="005D75CD" w:rsidP="005D75CD">
            <w:r w:rsidRPr="005D75CD">
              <w:t>Ongoing</w:t>
            </w:r>
          </w:p>
        </w:tc>
        <w:tc>
          <w:tcPr>
            <w:tcW w:w="2430" w:type="dxa"/>
            <w:shd w:val="clear" w:color="auto" w:fill="00B050"/>
          </w:tcPr>
          <w:p w:rsidR="005D75CD" w:rsidRPr="005D75CD" w:rsidRDefault="005D75CD" w:rsidP="005D75CD"/>
        </w:tc>
      </w:tr>
      <w:tr w:rsidR="005D75CD" w:rsidRPr="005D75CD" w:rsidTr="00725131">
        <w:tc>
          <w:tcPr>
            <w:tcW w:w="2841" w:type="dxa"/>
            <w:shd w:val="clear" w:color="auto" w:fill="auto"/>
          </w:tcPr>
          <w:p w:rsidR="005D75CD" w:rsidRPr="005D75CD" w:rsidRDefault="005D75CD" w:rsidP="005D75CD">
            <w:r w:rsidRPr="005D75CD">
              <w:t>Ensure that links are maintained between the APB and regional and national groups</w:t>
            </w:r>
          </w:p>
        </w:tc>
        <w:tc>
          <w:tcPr>
            <w:tcW w:w="3372" w:type="dxa"/>
            <w:shd w:val="clear" w:color="auto" w:fill="auto"/>
          </w:tcPr>
          <w:p w:rsidR="005D75CD" w:rsidRPr="005D75CD" w:rsidRDefault="005D75CD" w:rsidP="005D75CD">
            <w:r w:rsidRPr="005D75CD">
              <w:t>Attend meetings and contribute to other groups to help develop WG policies.</w:t>
            </w:r>
          </w:p>
        </w:tc>
        <w:tc>
          <w:tcPr>
            <w:tcW w:w="2685" w:type="dxa"/>
            <w:shd w:val="clear" w:color="auto" w:fill="auto"/>
          </w:tcPr>
          <w:p w:rsidR="005D75CD" w:rsidRPr="005D75CD" w:rsidRDefault="005D75CD" w:rsidP="005D75CD">
            <w:r w:rsidRPr="005D75CD">
              <w:t>Steve Adie, Simon Giles, Carl Williams</w:t>
            </w:r>
          </w:p>
        </w:tc>
        <w:tc>
          <w:tcPr>
            <w:tcW w:w="2846" w:type="dxa"/>
            <w:shd w:val="clear" w:color="auto" w:fill="auto"/>
          </w:tcPr>
          <w:p w:rsidR="005D75CD" w:rsidRPr="005D75CD" w:rsidRDefault="005D75CD" w:rsidP="005D75CD">
            <w:r w:rsidRPr="005D75CD">
              <w:t>Ongoing</w:t>
            </w:r>
          </w:p>
        </w:tc>
        <w:tc>
          <w:tcPr>
            <w:tcW w:w="2430" w:type="dxa"/>
            <w:shd w:val="clear" w:color="auto" w:fill="00B050"/>
          </w:tcPr>
          <w:p w:rsidR="005D75CD" w:rsidRPr="005D75CD" w:rsidRDefault="005D75CD" w:rsidP="005D75CD"/>
        </w:tc>
      </w:tr>
      <w:tr w:rsidR="005D75CD" w:rsidRPr="005D75CD" w:rsidTr="00725131">
        <w:tc>
          <w:tcPr>
            <w:tcW w:w="2841" w:type="dxa"/>
            <w:shd w:val="clear" w:color="auto" w:fill="auto"/>
          </w:tcPr>
          <w:p w:rsidR="005D75CD" w:rsidRPr="005D75CD" w:rsidRDefault="005D75CD" w:rsidP="005D75CD">
            <w:r w:rsidRPr="005D75CD">
              <w:t>Keep the APB informed of the work of this group</w:t>
            </w:r>
          </w:p>
        </w:tc>
        <w:tc>
          <w:tcPr>
            <w:tcW w:w="3372" w:type="dxa"/>
            <w:shd w:val="clear" w:color="auto" w:fill="auto"/>
          </w:tcPr>
          <w:p w:rsidR="005D75CD" w:rsidRPr="005D75CD" w:rsidRDefault="005D75CD" w:rsidP="005D75CD">
            <w:r w:rsidRPr="005D75CD">
              <w:t>Provide reports on the work of the group.</w:t>
            </w:r>
          </w:p>
        </w:tc>
        <w:tc>
          <w:tcPr>
            <w:tcW w:w="2685" w:type="dxa"/>
            <w:shd w:val="clear" w:color="auto" w:fill="auto"/>
          </w:tcPr>
          <w:p w:rsidR="005D75CD" w:rsidRPr="005D75CD" w:rsidRDefault="005D75CD" w:rsidP="005D75CD">
            <w:r w:rsidRPr="005D75CD">
              <w:t>Steve Adie</w:t>
            </w:r>
          </w:p>
        </w:tc>
        <w:tc>
          <w:tcPr>
            <w:tcW w:w="2846" w:type="dxa"/>
            <w:shd w:val="clear" w:color="auto" w:fill="auto"/>
          </w:tcPr>
          <w:p w:rsidR="005D75CD" w:rsidRPr="005D75CD" w:rsidRDefault="005D75CD" w:rsidP="005D75CD">
            <w:r w:rsidRPr="005D75CD">
              <w:t>Quarterly</w:t>
            </w:r>
          </w:p>
        </w:tc>
        <w:tc>
          <w:tcPr>
            <w:tcW w:w="2430" w:type="dxa"/>
            <w:shd w:val="clear" w:color="auto" w:fill="00B050"/>
          </w:tcPr>
          <w:p w:rsidR="005D75CD" w:rsidRPr="005D75CD" w:rsidRDefault="005D75CD" w:rsidP="005D75CD"/>
        </w:tc>
      </w:tr>
      <w:tr w:rsidR="005D75CD" w:rsidRPr="005D75CD" w:rsidTr="00725131">
        <w:tc>
          <w:tcPr>
            <w:tcW w:w="2841" w:type="dxa"/>
            <w:shd w:val="clear" w:color="auto" w:fill="auto"/>
          </w:tcPr>
          <w:p w:rsidR="005D75CD" w:rsidRPr="005D75CD" w:rsidRDefault="005D75CD" w:rsidP="005D75CD">
            <w:r w:rsidRPr="005D75CD">
              <w:t>Regular Service User engagement</w:t>
            </w:r>
          </w:p>
        </w:tc>
        <w:tc>
          <w:tcPr>
            <w:tcW w:w="3372" w:type="dxa"/>
            <w:shd w:val="clear" w:color="auto" w:fill="auto"/>
          </w:tcPr>
          <w:p w:rsidR="005D75CD" w:rsidRPr="005D75CD" w:rsidRDefault="005D75CD" w:rsidP="005D75CD">
            <w:r w:rsidRPr="005D75CD">
              <w:t>Keep service users informed and consider the best ways that service users can maintain engagement in treatment.</w:t>
            </w:r>
          </w:p>
        </w:tc>
        <w:tc>
          <w:tcPr>
            <w:tcW w:w="2685" w:type="dxa"/>
            <w:shd w:val="clear" w:color="auto" w:fill="auto"/>
          </w:tcPr>
          <w:p w:rsidR="005D75CD" w:rsidRPr="005D75CD" w:rsidRDefault="005D75CD" w:rsidP="005D75CD">
            <w:r w:rsidRPr="005D75CD">
              <w:t>Service providers</w:t>
            </w:r>
          </w:p>
        </w:tc>
        <w:tc>
          <w:tcPr>
            <w:tcW w:w="2846" w:type="dxa"/>
            <w:shd w:val="clear" w:color="auto" w:fill="auto"/>
          </w:tcPr>
          <w:p w:rsidR="005D75CD" w:rsidRPr="005D75CD" w:rsidRDefault="005D75CD" w:rsidP="005D75CD">
            <w:r w:rsidRPr="005D75CD">
              <w:t>Quarterly</w:t>
            </w:r>
          </w:p>
        </w:tc>
        <w:tc>
          <w:tcPr>
            <w:tcW w:w="2430" w:type="dxa"/>
            <w:shd w:val="clear" w:color="auto" w:fill="00B050"/>
          </w:tcPr>
          <w:p w:rsidR="005D75CD" w:rsidRPr="005D75CD" w:rsidRDefault="005D75CD" w:rsidP="005D75CD"/>
        </w:tc>
      </w:tr>
    </w:tbl>
    <w:p w:rsidR="005D75CD" w:rsidRDefault="005D75CD" w:rsidP="00AF3A33"/>
    <w:p w:rsidR="005D75CD" w:rsidRDefault="005D75CD" w:rsidP="00AF3A33">
      <w:r w:rsidRPr="005D75CD">
        <w:t>•</w:t>
      </w:r>
      <w:r w:rsidRPr="005D75CD">
        <w:tab/>
        <w:t>Main areas of work undertaken in quarter 1:</w:t>
      </w:r>
    </w:p>
    <w:p w:rsidR="005D75CD" w:rsidRDefault="005D75CD" w:rsidP="002D270A">
      <w:pPr>
        <w:pStyle w:val="ListParagraph"/>
        <w:numPr>
          <w:ilvl w:val="0"/>
          <w:numId w:val="12"/>
        </w:numPr>
      </w:pPr>
      <w:r>
        <w:t>Terms of reference developed</w:t>
      </w:r>
    </w:p>
    <w:p w:rsidR="005D75CD" w:rsidRDefault="005D75CD" w:rsidP="002D270A">
      <w:pPr>
        <w:pStyle w:val="ListParagraph"/>
        <w:numPr>
          <w:ilvl w:val="0"/>
          <w:numId w:val="12"/>
        </w:numPr>
      </w:pPr>
      <w:r>
        <w:t>Work plan agreed and will be monitored by group</w:t>
      </w:r>
    </w:p>
    <w:p w:rsidR="005D75CD" w:rsidRDefault="005D75CD" w:rsidP="002D270A">
      <w:pPr>
        <w:pStyle w:val="ListParagraph"/>
        <w:numPr>
          <w:ilvl w:val="0"/>
          <w:numId w:val="12"/>
        </w:numPr>
      </w:pPr>
      <w:r>
        <w:t>Report on addressing KPI issues produced and reported to WG</w:t>
      </w:r>
    </w:p>
    <w:p w:rsidR="00A5462E" w:rsidRDefault="005D75CD" w:rsidP="002D270A">
      <w:pPr>
        <w:pStyle w:val="ListParagraph"/>
        <w:numPr>
          <w:ilvl w:val="0"/>
          <w:numId w:val="12"/>
        </w:numPr>
      </w:pPr>
      <w:r>
        <w:t xml:space="preserve">Group </w:t>
      </w:r>
      <w:r w:rsidR="00A5462E">
        <w:t xml:space="preserve">agreed a number of initiatives </w:t>
      </w:r>
      <w:r>
        <w:t>to reduces DNAs</w:t>
      </w:r>
    </w:p>
    <w:p w:rsidR="00A5462E" w:rsidRDefault="00A5462E" w:rsidP="002D270A">
      <w:pPr>
        <w:pStyle w:val="ListParagraph"/>
        <w:numPr>
          <w:ilvl w:val="0"/>
          <w:numId w:val="12"/>
        </w:numPr>
      </w:pPr>
      <w:r>
        <w:t>Group has required all service providers to have action plans that address KPI issues and how they will close gaps in PARIS. This will be monitored via the APB team at quarterly monitoring visits.</w:t>
      </w:r>
    </w:p>
    <w:p w:rsidR="00A5462E" w:rsidRPr="005D75CD" w:rsidRDefault="00A5462E" w:rsidP="002D270A">
      <w:pPr>
        <w:pStyle w:val="ListParagraph"/>
        <w:numPr>
          <w:ilvl w:val="0"/>
          <w:numId w:val="12"/>
        </w:numPr>
      </w:pPr>
      <w:r>
        <w:t>Group has recommended to WG that they review how KPI 1 and KPI and 5 are calculated and recommended a new KPI be introduced that better reflects service provision in the region.</w:t>
      </w:r>
    </w:p>
    <w:p w:rsidR="00AF3A33" w:rsidRDefault="00AF3A33" w:rsidP="00AF3A33">
      <w:pPr>
        <w:rPr>
          <w:b/>
        </w:rPr>
      </w:pPr>
      <w:r>
        <w:rPr>
          <w:b/>
        </w:rPr>
        <w:t>Ha</w:t>
      </w:r>
      <w:r w:rsidR="00A5462E">
        <w:rPr>
          <w:b/>
        </w:rPr>
        <w:t xml:space="preserve">rm Reduction Sub Group </w:t>
      </w:r>
    </w:p>
    <w:p w:rsidR="00162412" w:rsidRPr="00162412" w:rsidRDefault="00A5462E" w:rsidP="00162412">
      <w:pPr>
        <w:pStyle w:val="ListParagraph"/>
        <w:numPr>
          <w:ilvl w:val="0"/>
          <w:numId w:val="11"/>
        </w:numPr>
      </w:pPr>
      <w:r w:rsidRPr="00162412">
        <w:t>Work Plan</w:t>
      </w:r>
    </w:p>
    <w:p w:rsidR="00A5462E" w:rsidRDefault="00A5462E" w:rsidP="00AF3A33">
      <w:r w:rsidRPr="00162412">
        <w:t>The Group’s work plan is based around the Health and Wellbeing Compendium.  A working group</w:t>
      </w:r>
      <w:r w:rsidR="00162412">
        <w:t xml:space="preserve"> of members has been established to review outcomes and actions in the Compendium that are relevant to the Harm Reduction</w:t>
      </w:r>
      <w:r w:rsidR="002D270A">
        <w:t xml:space="preserve"> Agenda to be incorporated into a Work Plan for the group.</w:t>
      </w:r>
    </w:p>
    <w:p w:rsidR="00162412" w:rsidRDefault="00162412" w:rsidP="00AF3A33">
      <w:r w:rsidRPr="00162412">
        <w:t>•</w:t>
      </w:r>
      <w:r w:rsidRPr="00162412">
        <w:tab/>
        <w:t>Main areas of work undertaken in quarter 1</w:t>
      </w:r>
      <w:r w:rsidR="007C30FB">
        <w:t xml:space="preserve"> (to include the work of the Overdose/Naloxone Working Group)</w:t>
      </w:r>
      <w:r w:rsidRPr="00162412">
        <w:t>:</w:t>
      </w:r>
    </w:p>
    <w:p w:rsidR="002D270A" w:rsidRDefault="002D270A" w:rsidP="002D270A">
      <w:pPr>
        <w:pStyle w:val="ListParagraph"/>
        <w:numPr>
          <w:ilvl w:val="0"/>
          <w:numId w:val="13"/>
        </w:numPr>
      </w:pPr>
      <w:r>
        <w:t>Overdose sub groups have merged.</w:t>
      </w:r>
    </w:p>
    <w:p w:rsidR="002D270A" w:rsidRDefault="002D270A" w:rsidP="002D270A">
      <w:pPr>
        <w:pStyle w:val="ListParagraph"/>
        <w:numPr>
          <w:ilvl w:val="0"/>
          <w:numId w:val="13"/>
        </w:numPr>
      </w:pPr>
      <w:r>
        <w:t>The ISP for the non-fatal and fatal overdoses has been drafted and is currently with WASPI for approval.  Once agreed it will be circulated to agencies for sign off.</w:t>
      </w:r>
    </w:p>
    <w:p w:rsidR="002D270A" w:rsidRDefault="002D270A" w:rsidP="002D270A">
      <w:pPr>
        <w:pStyle w:val="ListParagraph"/>
        <w:numPr>
          <w:ilvl w:val="0"/>
          <w:numId w:val="13"/>
        </w:numPr>
      </w:pPr>
      <w:r>
        <w:t>Drug Related Deaths – review panel now in place.</w:t>
      </w:r>
    </w:p>
    <w:p w:rsidR="002D270A" w:rsidRDefault="002D270A" w:rsidP="002D270A">
      <w:pPr>
        <w:pStyle w:val="ListParagraph"/>
        <w:numPr>
          <w:ilvl w:val="0"/>
          <w:numId w:val="13"/>
        </w:numPr>
      </w:pPr>
      <w:r>
        <w:t>An audit of Naloxone provision has taken place at the request of WG to inform future funding. A report has been submitted to WG with observations and recommendations</w:t>
      </w:r>
      <w:r w:rsidR="007C30FB">
        <w:t xml:space="preserve"> to improve the level of recording of distributions on the database</w:t>
      </w:r>
      <w:r>
        <w:t>.  Group to ensure recommendations are actioned.</w:t>
      </w:r>
    </w:p>
    <w:p w:rsidR="002D270A" w:rsidRDefault="002D270A" w:rsidP="002D270A">
      <w:pPr>
        <w:pStyle w:val="ListParagraph"/>
        <w:numPr>
          <w:ilvl w:val="0"/>
          <w:numId w:val="13"/>
        </w:numPr>
      </w:pPr>
      <w:r>
        <w:t>The Sub Group felt that is was important to raise the issue of the lack of pharmacy NEX provision in Swansea centre again following the APBs recognition of the issue in 2015.</w:t>
      </w:r>
    </w:p>
    <w:p w:rsidR="002D270A" w:rsidRDefault="002D270A" w:rsidP="002D270A">
      <w:pPr>
        <w:pStyle w:val="ListParagraph"/>
        <w:numPr>
          <w:ilvl w:val="0"/>
          <w:numId w:val="13"/>
        </w:numPr>
      </w:pPr>
      <w:r>
        <w:t>More Funding has been secured for Naloxone Kits.</w:t>
      </w:r>
    </w:p>
    <w:p w:rsidR="002D270A" w:rsidRDefault="002D270A" w:rsidP="00AF3A33">
      <w:pPr>
        <w:pStyle w:val="ListParagraph"/>
        <w:numPr>
          <w:ilvl w:val="0"/>
          <w:numId w:val="13"/>
        </w:numPr>
      </w:pPr>
      <w:r>
        <w:t>Two Drug Related Death Review meetings have been held in this quarter</w:t>
      </w:r>
    </w:p>
    <w:p w:rsidR="00AF3A33" w:rsidRDefault="00AF3A33" w:rsidP="00AF3A33">
      <w:pPr>
        <w:rPr>
          <w:b/>
        </w:rPr>
      </w:pPr>
      <w:r>
        <w:rPr>
          <w:b/>
        </w:rPr>
        <w:t xml:space="preserve">Prevention, Education and Training Sub Group </w:t>
      </w:r>
    </w:p>
    <w:p w:rsidR="002D270A" w:rsidRPr="002D270A" w:rsidRDefault="002D270A" w:rsidP="002D270A">
      <w:pPr>
        <w:pStyle w:val="ListParagraph"/>
        <w:numPr>
          <w:ilvl w:val="0"/>
          <w:numId w:val="14"/>
        </w:numPr>
        <w:rPr>
          <w:b/>
        </w:rPr>
      </w:pPr>
      <w:r>
        <w:rPr>
          <w:b/>
        </w:rPr>
        <w:t>Work Plan</w:t>
      </w:r>
    </w:p>
    <w:p w:rsidR="002D270A" w:rsidRDefault="002D270A" w:rsidP="00AF3A33">
      <w:r w:rsidRPr="002D270A">
        <w:t>The work plan for this group is currently in draft format</w:t>
      </w:r>
      <w:r w:rsidR="00573BCB">
        <w:t xml:space="preserve"> and is provided below for information only</w:t>
      </w:r>
      <w:r w:rsidRPr="002D270A">
        <w:t>.  A number of working groups have been established to develop specific actions</w:t>
      </w:r>
      <w:r>
        <w:t xml:space="preserve"> under each theme.</w:t>
      </w:r>
    </w:p>
    <w:tbl>
      <w:tblPr>
        <w:tblStyle w:val="TableGrid"/>
        <w:tblW w:w="0" w:type="auto"/>
        <w:tblLook w:val="04A0" w:firstRow="1" w:lastRow="0" w:firstColumn="1" w:lastColumn="0" w:noHBand="0" w:noVBand="1"/>
      </w:tblPr>
      <w:tblGrid>
        <w:gridCol w:w="2607"/>
        <w:gridCol w:w="2428"/>
        <w:gridCol w:w="2189"/>
        <w:gridCol w:w="2018"/>
      </w:tblGrid>
      <w:tr w:rsidR="002D270A" w:rsidTr="00725131">
        <w:tc>
          <w:tcPr>
            <w:tcW w:w="14174" w:type="dxa"/>
            <w:gridSpan w:val="4"/>
            <w:shd w:val="clear" w:color="auto" w:fill="FABF8F" w:themeFill="accent6" w:themeFillTint="99"/>
          </w:tcPr>
          <w:p w:rsidR="002D270A" w:rsidRPr="00AB7752" w:rsidRDefault="002D270A" w:rsidP="00725131">
            <w:pPr>
              <w:rPr>
                <w:b/>
              </w:rPr>
            </w:pPr>
            <w:r w:rsidRPr="00AB7752">
              <w:rPr>
                <w:b/>
              </w:rPr>
              <w:t>Action Area:  Early Years, Parents &amp; Carers</w:t>
            </w:r>
          </w:p>
        </w:tc>
      </w:tr>
      <w:tr w:rsidR="002D270A" w:rsidTr="00725131">
        <w:tc>
          <w:tcPr>
            <w:tcW w:w="14174" w:type="dxa"/>
            <w:gridSpan w:val="4"/>
            <w:shd w:val="clear" w:color="auto" w:fill="FABF8F" w:themeFill="accent6" w:themeFillTint="99"/>
          </w:tcPr>
          <w:p w:rsidR="002D270A" w:rsidRPr="00AB7752" w:rsidRDefault="002D270A" w:rsidP="00725131">
            <w:pPr>
              <w:rPr>
                <w:b/>
              </w:rPr>
            </w:pPr>
            <w:r w:rsidRPr="00AB7752">
              <w:rPr>
                <w:b/>
              </w:rPr>
              <w:t>Objective 1:   All parents and carers in the region are aware of safer use of substances in the family setting.</w:t>
            </w:r>
          </w:p>
        </w:tc>
      </w:tr>
      <w:tr w:rsidR="002D270A" w:rsidTr="00725131">
        <w:tc>
          <w:tcPr>
            <w:tcW w:w="3543" w:type="dxa"/>
          </w:tcPr>
          <w:p w:rsidR="002D270A" w:rsidRPr="00AB7752" w:rsidRDefault="002D270A" w:rsidP="00725131">
            <w:pPr>
              <w:rPr>
                <w:b/>
              </w:rPr>
            </w:pPr>
            <w:r w:rsidRPr="00AB7752">
              <w:rPr>
                <w:b/>
              </w:rPr>
              <w:t>Action</w:t>
            </w:r>
          </w:p>
        </w:tc>
        <w:tc>
          <w:tcPr>
            <w:tcW w:w="3543" w:type="dxa"/>
          </w:tcPr>
          <w:p w:rsidR="002D270A" w:rsidRPr="00AB7752" w:rsidRDefault="002D270A" w:rsidP="00725131">
            <w:pPr>
              <w:rPr>
                <w:b/>
              </w:rPr>
            </w:pPr>
            <w:r w:rsidRPr="00AB7752">
              <w:rPr>
                <w:b/>
              </w:rPr>
              <w:t>By whom</w:t>
            </w:r>
          </w:p>
        </w:tc>
        <w:tc>
          <w:tcPr>
            <w:tcW w:w="3544" w:type="dxa"/>
          </w:tcPr>
          <w:p w:rsidR="002D270A" w:rsidRPr="00AB7752" w:rsidRDefault="002D270A" w:rsidP="00725131">
            <w:pPr>
              <w:rPr>
                <w:b/>
              </w:rPr>
            </w:pPr>
            <w:r w:rsidRPr="00AB7752">
              <w:rPr>
                <w:b/>
              </w:rPr>
              <w:t>By when</w:t>
            </w:r>
          </w:p>
        </w:tc>
        <w:tc>
          <w:tcPr>
            <w:tcW w:w="3544" w:type="dxa"/>
          </w:tcPr>
          <w:p w:rsidR="002D270A" w:rsidRPr="00AB7752" w:rsidRDefault="002D270A" w:rsidP="00725131">
            <w:pPr>
              <w:rPr>
                <w:b/>
              </w:rPr>
            </w:pPr>
            <w:r w:rsidRPr="00AB7752">
              <w:rPr>
                <w:b/>
              </w:rPr>
              <w:t>Status</w:t>
            </w:r>
          </w:p>
        </w:tc>
      </w:tr>
      <w:tr w:rsidR="002D270A" w:rsidTr="00725131">
        <w:tc>
          <w:tcPr>
            <w:tcW w:w="3543" w:type="dxa"/>
            <w:tcBorders>
              <w:bottom w:val="single" w:sz="4" w:space="0" w:color="auto"/>
            </w:tcBorders>
          </w:tcPr>
          <w:p w:rsidR="002D270A" w:rsidRDefault="002D270A" w:rsidP="00725131">
            <w:r>
              <w:t>Sub Group to explore evidence base around current interventions for parents and carers and map out what substance misuse advice is available.  This action will also establish the pathways for accessing this information.</w:t>
            </w:r>
          </w:p>
        </w:tc>
        <w:tc>
          <w:tcPr>
            <w:tcW w:w="3543" w:type="dxa"/>
            <w:tcBorders>
              <w:bottom w:val="single" w:sz="4" w:space="0" w:color="auto"/>
            </w:tcBorders>
          </w:tcPr>
          <w:p w:rsidR="002D270A" w:rsidRDefault="002D270A" w:rsidP="00725131">
            <w:r>
              <w:t>Task and finish group chaired by the Early years representative on Sub Group (tbc)</w:t>
            </w:r>
          </w:p>
        </w:tc>
        <w:tc>
          <w:tcPr>
            <w:tcW w:w="3544" w:type="dxa"/>
            <w:tcBorders>
              <w:bottom w:val="single" w:sz="4" w:space="0" w:color="auto"/>
            </w:tcBorders>
          </w:tcPr>
          <w:p w:rsidR="002D270A" w:rsidRDefault="002D270A" w:rsidP="00573BCB"/>
        </w:tc>
        <w:tc>
          <w:tcPr>
            <w:tcW w:w="3544" w:type="dxa"/>
            <w:tcBorders>
              <w:bottom w:val="single" w:sz="4" w:space="0" w:color="auto"/>
            </w:tcBorders>
          </w:tcPr>
          <w:p w:rsidR="002D270A" w:rsidRDefault="002D270A" w:rsidP="00725131"/>
        </w:tc>
      </w:tr>
      <w:tr w:rsidR="002D270A" w:rsidTr="00725131">
        <w:tc>
          <w:tcPr>
            <w:tcW w:w="3543" w:type="dxa"/>
            <w:tcBorders>
              <w:bottom w:val="single" w:sz="4" w:space="0" w:color="auto"/>
            </w:tcBorders>
          </w:tcPr>
          <w:p w:rsidR="002D270A" w:rsidRDefault="002D270A" w:rsidP="00725131">
            <w:r>
              <w:t xml:space="preserve">Task and Finish Group to develop a proposal of recommendations on how the current provision can be improved. </w:t>
            </w:r>
          </w:p>
        </w:tc>
        <w:tc>
          <w:tcPr>
            <w:tcW w:w="3543" w:type="dxa"/>
            <w:tcBorders>
              <w:bottom w:val="single" w:sz="4" w:space="0" w:color="auto"/>
            </w:tcBorders>
          </w:tcPr>
          <w:p w:rsidR="002D270A" w:rsidRDefault="002D270A" w:rsidP="00725131">
            <w:r>
              <w:t>As above</w:t>
            </w:r>
          </w:p>
        </w:tc>
        <w:tc>
          <w:tcPr>
            <w:tcW w:w="3544" w:type="dxa"/>
            <w:tcBorders>
              <w:bottom w:val="single" w:sz="4" w:space="0" w:color="auto"/>
            </w:tcBorders>
          </w:tcPr>
          <w:p w:rsidR="002D270A" w:rsidRDefault="002D270A" w:rsidP="00725131"/>
        </w:tc>
        <w:tc>
          <w:tcPr>
            <w:tcW w:w="3544" w:type="dxa"/>
            <w:tcBorders>
              <w:bottom w:val="single" w:sz="4" w:space="0" w:color="auto"/>
            </w:tcBorders>
          </w:tcPr>
          <w:p w:rsidR="002D270A" w:rsidRDefault="002D270A" w:rsidP="00725131"/>
        </w:tc>
      </w:tr>
      <w:tr w:rsidR="002D270A" w:rsidTr="00725131">
        <w:tc>
          <w:tcPr>
            <w:tcW w:w="14174" w:type="dxa"/>
            <w:gridSpan w:val="4"/>
            <w:shd w:val="clear" w:color="auto" w:fill="C2D69B" w:themeFill="accent3" w:themeFillTint="99"/>
          </w:tcPr>
          <w:p w:rsidR="002D270A" w:rsidRPr="00AB7752" w:rsidRDefault="002D270A" w:rsidP="00725131">
            <w:pPr>
              <w:rPr>
                <w:b/>
              </w:rPr>
            </w:pPr>
            <w:r w:rsidRPr="00AB7752">
              <w:rPr>
                <w:b/>
              </w:rPr>
              <w:t>Action Area:  Young People</w:t>
            </w:r>
          </w:p>
        </w:tc>
      </w:tr>
      <w:tr w:rsidR="002D270A" w:rsidTr="00725131">
        <w:tc>
          <w:tcPr>
            <w:tcW w:w="14174" w:type="dxa"/>
            <w:gridSpan w:val="4"/>
            <w:shd w:val="clear" w:color="auto" w:fill="C2D69B" w:themeFill="accent3" w:themeFillTint="99"/>
          </w:tcPr>
          <w:p w:rsidR="002D270A" w:rsidRPr="00AB7752" w:rsidRDefault="002D270A" w:rsidP="00725131">
            <w:pPr>
              <w:rPr>
                <w:b/>
              </w:rPr>
            </w:pPr>
            <w:r w:rsidRPr="00AB7752">
              <w:rPr>
                <w:b/>
              </w:rPr>
              <w:t xml:space="preserve">Objective 1:  </w:t>
            </w:r>
            <w:r>
              <w:rPr>
                <w:b/>
              </w:rPr>
              <w:t xml:space="preserve">All school age children in the region receive a minimum and consistent programme of advice and guidance from substance misuse professionals </w:t>
            </w:r>
          </w:p>
        </w:tc>
      </w:tr>
      <w:tr w:rsidR="002D270A" w:rsidTr="00725131">
        <w:tc>
          <w:tcPr>
            <w:tcW w:w="3543" w:type="dxa"/>
          </w:tcPr>
          <w:p w:rsidR="002D270A" w:rsidRPr="00AB7752" w:rsidRDefault="002D270A" w:rsidP="00725131">
            <w:pPr>
              <w:rPr>
                <w:b/>
              </w:rPr>
            </w:pPr>
            <w:r w:rsidRPr="00AB7752">
              <w:rPr>
                <w:b/>
              </w:rPr>
              <w:t>Action</w:t>
            </w:r>
          </w:p>
        </w:tc>
        <w:tc>
          <w:tcPr>
            <w:tcW w:w="3543" w:type="dxa"/>
          </w:tcPr>
          <w:p w:rsidR="002D270A" w:rsidRPr="00AB7752" w:rsidRDefault="002D270A" w:rsidP="00725131">
            <w:pPr>
              <w:rPr>
                <w:b/>
              </w:rPr>
            </w:pPr>
            <w:r w:rsidRPr="00AB7752">
              <w:rPr>
                <w:b/>
              </w:rPr>
              <w:t>By whom</w:t>
            </w:r>
          </w:p>
        </w:tc>
        <w:tc>
          <w:tcPr>
            <w:tcW w:w="3544" w:type="dxa"/>
          </w:tcPr>
          <w:p w:rsidR="002D270A" w:rsidRPr="00AB7752" w:rsidRDefault="002D270A" w:rsidP="00725131">
            <w:pPr>
              <w:rPr>
                <w:b/>
              </w:rPr>
            </w:pPr>
            <w:r w:rsidRPr="00AB7752">
              <w:rPr>
                <w:b/>
              </w:rPr>
              <w:t>By when</w:t>
            </w:r>
          </w:p>
        </w:tc>
        <w:tc>
          <w:tcPr>
            <w:tcW w:w="3544" w:type="dxa"/>
          </w:tcPr>
          <w:p w:rsidR="002D270A" w:rsidRPr="00AB7752" w:rsidRDefault="002D270A" w:rsidP="00725131">
            <w:pPr>
              <w:rPr>
                <w:b/>
              </w:rPr>
            </w:pPr>
            <w:r w:rsidRPr="00AB7752">
              <w:rPr>
                <w:b/>
              </w:rPr>
              <w:t>status</w:t>
            </w:r>
          </w:p>
        </w:tc>
      </w:tr>
      <w:tr w:rsidR="002D270A" w:rsidTr="00725131">
        <w:tc>
          <w:tcPr>
            <w:tcW w:w="3543" w:type="dxa"/>
          </w:tcPr>
          <w:p w:rsidR="002D270A" w:rsidRDefault="002D270A" w:rsidP="00725131">
            <w:r>
              <w:t>Sub Group to analyse the evidence base, including the Welsh Government Substance Misuse Education Guidance (</w:t>
            </w:r>
            <w:r>
              <w:rPr>
                <w:sz w:val="18"/>
                <w:szCs w:val="18"/>
              </w:rPr>
              <w:t>WG18520)</w:t>
            </w:r>
            <w:r>
              <w:t xml:space="preserve"> and develop a series of recommendations for the PET group.  </w:t>
            </w:r>
          </w:p>
        </w:tc>
        <w:tc>
          <w:tcPr>
            <w:tcW w:w="3543" w:type="dxa"/>
          </w:tcPr>
          <w:p w:rsidR="002D270A" w:rsidRDefault="002D270A" w:rsidP="00573BCB">
            <w:r>
              <w:t xml:space="preserve">Task and finish group </w:t>
            </w:r>
          </w:p>
        </w:tc>
        <w:tc>
          <w:tcPr>
            <w:tcW w:w="3544" w:type="dxa"/>
          </w:tcPr>
          <w:p w:rsidR="002D270A" w:rsidRDefault="002D270A" w:rsidP="00725131"/>
        </w:tc>
        <w:tc>
          <w:tcPr>
            <w:tcW w:w="3544" w:type="dxa"/>
          </w:tcPr>
          <w:p w:rsidR="002D270A" w:rsidRDefault="002D270A" w:rsidP="00725131"/>
        </w:tc>
      </w:tr>
      <w:tr w:rsidR="002D270A" w:rsidTr="00725131">
        <w:tc>
          <w:tcPr>
            <w:tcW w:w="3543" w:type="dxa"/>
          </w:tcPr>
          <w:p w:rsidR="002D270A" w:rsidRDefault="002D270A" w:rsidP="00725131">
            <w:r>
              <w:t>Task and Finish group to develop an action plan relating to recommendations linking in with the healthy schools programme.</w:t>
            </w:r>
          </w:p>
        </w:tc>
        <w:tc>
          <w:tcPr>
            <w:tcW w:w="3543" w:type="dxa"/>
          </w:tcPr>
          <w:p w:rsidR="002D270A" w:rsidRDefault="002D270A" w:rsidP="00725131">
            <w:r>
              <w:t>As above</w:t>
            </w:r>
          </w:p>
        </w:tc>
        <w:tc>
          <w:tcPr>
            <w:tcW w:w="3544" w:type="dxa"/>
          </w:tcPr>
          <w:p w:rsidR="002D270A" w:rsidRDefault="002D270A" w:rsidP="00725131"/>
        </w:tc>
        <w:tc>
          <w:tcPr>
            <w:tcW w:w="3544" w:type="dxa"/>
          </w:tcPr>
          <w:p w:rsidR="002D270A" w:rsidRDefault="002D270A" w:rsidP="00725131"/>
        </w:tc>
      </w:tr>
      <w:tr w:rsidR="002D270A" w:rsidTr="00725131">
        <w:tc>
          <w:tcPr>
            <w:tcW w:w="14174" w:type="dxa"/>
            <w:gridSpan w:val="4"/>
            <w:shd w:val="clear" w:color="auto" w:fill="CCC0D9" w:themeFill="accent4" w:themeFillTint="66"/>
          </w:tcPr>
          <w:p w:rsidR="002D270A" w:rsidRDefault="002D270A" w:rsidP="00725131">
            <w:r w:rsidRPr="00AB7752">
              <w:rPr>
                <w:b/>
              </w:rPr>
              <w:t xml:space="preserve">Action Area:  </w:t>
            </w:r>
            <w:r>
              <w:rPr>
                <w:b/>
              </w:rPr>
              <w:t>Working Age</w:t>
            </w:r>
          </w:p>
        </w:tc>
      </w:tr>
      <w:tr w:rsidR="002D270A" w:rsidTr="00725131">
        <w:tc>
          <w:tcPr>
            <w:tcW w:w="14174" w:type="dxa"/>
            <w:gridSpan w:val="4"/>
            <w:shd w:val="clear" w:color="auto" w:fill="CCC0D9" w:themeFill="accent4" w:themeFillTint="66"/>
          </w:tcPr>
          <w:p w:rsidR="002D270A" w:rsidRPr="00F83369" w:rsidRDefault="002D270A" w:rsidP="00725131">
            <w:pPr>
              <w:rPr>
                <w:b/>
              </w:rPr>
            </w:pPr>
            <w:r w:rsidRPr="00F83369">
              <w:rPr>
                <w:b/>
              </w:rPr>
              <w:t xml:space="preserve">Working age adults are supported to make healthy choices regarding drug and alcohol use.  </w:t>
            </w:r>
          </w:p>
        </w:tc>
      </w:tr>
      <w:tr w:rsidR="002D270A" w:rsidTr="00725131">
        <w:tc>
          <w:tcPr>
            <w:tcW w:w="3543" w:type="dxa"/>
          </w:tcPr>
          <w:p w:rsidR="002D270A" w:rsidRDefault="002D270A" w:rsidP="00725131">
            <w:r w:rsidRPr="00AB7752">
              <w:rPr>
                <w:b/>
              </w:rPr>
              <w:t>Action</w:t>
            </w:r>
          </w:p>
        </w:tc>
        <w:tc>
          <w:tcPr>
            <w:tcW w:w="3543" w:type="dxa"/>
          </w:tcPr>
          <w:p w:rsidR="002D270A" w:rsidRDefault="002D270A" w:rsidP="00725131">
            <w:r w:rsidRPr="00AB7752">
              <w:rPr>
                <w:b/>
              </w:rPr>
              <w:t>By whom</w:t>
            </w:r>
          </w:p>
        </w:tc>
        <w:tc>
          <w:tcPr>
            <w:tcW w:w="3544" w:type="dxa"/>
          </w:tcPr>
          <w:p w:rsidR="002D270A" w:rsidRDefault="002D270A" w:rsidP="00725131">
            <w:r w:rsidRPr="00AB7752">
              <w:rPr>
                <w:b/>
              </w:rPr>
              <w:t>By when</w:t>
            </w:r>
          </w:p>
        </w:tc>
        <w:tc>
          <w:tcPr>
            <w:tcW w:w="3544" w:type="dxa"/>
          </w:tcPr>
          <w:p w:rsidR="002D270A" w:rsidRDefault="002D270A" w:rsidP="00725131">
            <w:r w:rsidRPr="00AB7752">
              <w:rPr>
                <w:b/>
              </w:rPr>
              <w:t>status</w:t>
            </w:r>
          </w:p>
        </w:tc>
      </w:tr>
      <w:tr w:rsidR="002D270A" w:rsidTr="00725131">
        <w:tc>
          <w:tcPr>
            <w:tcW w:w="3543" w:type="dxa"/>
          </w:tcPr>
          <w:p w:rsidR="002D270A" w:rsidRPr="00E8204B" w:rsidRDefault="002D270A" w:rsidP="00725131">
            <w:r w:rsidRPr="00E8204B">
              <w:t xml:space="preserve">Understand the scope and coverage of healthy workplace, and corporate health, award.   </w:t>
            </w:r>
          </w:p>
        </w:tc>
        <w:tc>
          <w:tcPr>
            <w:tcW w:w="3543" w:type="dxa"/>
          </w:tcPr>
          <w:p w:rsidR="002D270A" w:rsidRPr="00AB7752" w:rsidRDefault="002D270A" w:rsidP="00725131">
            <w:pPr>
              <w:rPr>
                <w:b/>
              </w:rPr>
            </w:pPr>
            <w:r>
              <w:rPr>
                <w:b/>
              </w:rPr>
              <w:t>Claire Fauvel</w:t>
            </w:r>
          </w:p>
        </w:tc>
        <w:tc>
          <w:tcPr>
            <w:tcW w:w="3544" w:type="dxa"/>
          </w:tcPr>
          <w:p w:rsidR="002D270A" w:rsidRPr="00AB7752" w:rsidRDefault="002D270A" w:rsidP="00725131">
            <w:pPr>
              <w:rPr>
                <w:b/>
              </w:rPr>
            </w:pPr>
          </w:p>
        </w:tc>
        <w:tc>
          <w:tcPr>
            <w:tcW w:w="3544" w:type="dxa"/>
          </w:tcPr>
          <w:p w:rsidR="002D270A" w:rsidRPr="00AB7752" w:rsidRDefault="002D270A" w:rsidP="00725131">
            <w:pPr>
              <w:rPr>
                <w:b/>
              </w:rPr>
            </w:pPr>
          </w:p>
        </w:tc>
      </w:tr>
      <w:tr w:rsidR="002D270A" w:rsidTr="00725131">
        <w:tc>
          <w:tcPr>
            <w:tcW w:w="3543" w:type="dxa"/>
          </w:tcPr>
          <w:p w:rsidR="002D270A" w:rsidRPr="00E8204B" w:rsidRDefault="002D270A" w:rsidP="00725131">
            <w:r>
              <w:t>Promote and support the implementation of the information brief advice (IBA) programme across primary care</w:t>
            </w:r>
          </w:p>
        </w:tc>
        <w:tc>
          <w:tcPr>
            <w:tcW w:w="3543" w:type="dxa"/>
          </w:tcPr>
          <w:p w:rsidR="002D270A" w:rsidRPr="00AB7752" w:rsidRDefault="002D270A" w:rsidP="00725131">
            <w:pPr>
              <w:rPr>
                <w:b/>
              </w:rPr>
            </w:pPr>
            <w:r>
              <w:rPr>
                <w:b/>
              </w:rPr>
              <w:t>Primary care lead - tbc</w:t>
            </w:r>
          </w:p>
        </w:tc>
        <w:tc>
          <w:tcPr>
            <w:tcW w:w="3544" w:type="dxa"/>
          </w:tcPr>
          <w:p w:rsidR="002D270A" w:rsidRPr="00AB7752" w:rsidRDefault="002D270A" w:rsidP="00725131">
            <w:pPr>
              <w:rPr>
                <w:b/>
              </w:rPr>
            </w:pPr>
            <w:r>
              <w:rPr>
                <w:b/>
              </w:rPr>
              <w:t xml:space="preserve">Quarterly updates </w:t>
            </w:r>
          </w:p>
        </w:tc>
        <w:tc>
          <w:tcPr>
            <w:tcW w:w="3544" w:type="dxa"/>
          </w:tcPr>
          <w:p w:rsidR="002D270A" w:rsidRPr="00AB7752" w:rsidRDefault="002D270A" w:rsidP="00725131">
            <w:pPr>
              <w:rPr>
                <w:b/>
              </w:rPr>
            </w:pPr>
          </w:p>
        </w:tc>
      </w:tr>
      <w:tr w:rsidR="002D270A" w:rsidTr="00725131">
        <w:tc>
          <w:tcPr>
            <w:tcW w:w="14174" w:type="dxa"/>
            <w:gridSpan w:val="4"/>
            <w:shd w:val="clear" w:color="auto" w:fill="E5DFEC" w:themeFill="accent4" w:themeFillTint="33"/>
          </w:tcPr>
          <w:p w:rsidR="002D270A" w:rsidRPr="00AB7752" w:rsidRDefault="002D270A" w:rsidP="00725131">
            <w:pPr>
              <w:rPr>
                <w:b/>
              </w:rPr>
            </w:pPr>
            <w:r w:rsidRPr="00AB7752">
              <w:rPr>
                <w:b/>
              </w:rPr>
              <w:t xml:space="preserve">Action Area:  </w:t>
            </w:r>
            <w:r>
              <w:rPr>
                <w:b/>
              </w:rPr>
              <w:t>Older Adults</w:t>
            </w:r>
          </w:p>
        </w:tc>
      </w:tr>
      <w:tr w:rsidR="002D270A" w:rsidTr="00725131">
        <w:tc>
          <w:tcPr>
            <w:tcW w:w="14174" w:type="dxa"/>
            <w:gridSpan w:val="4"/>
            <w:shd w:val="clear" w:color="auto" w:fill="E5DFEC" w:themeFill="accent4" w:themeFillTint="33"/>
          </w:tcPr>
          <w:p w:rsidR="002D270A" w:rsidRPr="00AB7752" w:rsidRDefault="002D270A" w:rsidP="00725131">
            <w:pPr>
              <w:rPr>
                <w:b/>
              </w:rPr>
            </w:pPr>
            <w:r>
              <w:rPr>
                <w:b/>
              </w:rPr>
              <w:t>The prevalence of alcohol misuse among older people is understood</w:t>
            </w:r>
          </w:p>
        </w:tc>
      </w:tr>
      <w:tr w:rsidR="002D270A" w:rsidTr="00725131">
        <w:tc>
          <w:tcPr>
            <w:tcW w:w="3543" w:type="dxa"/>
          </w:tcPr>
          <w:p w:rsidR="002D270A" w:rsidRPr="00E8204B" w:rsidRDefault="002D270A" w:rsidP="00725131">
            <w:r>
              <w:t xml:space="preserve">Utilise available evidence to establish the prevalence of alcohol misuse among older people </w:t>
            </w:r>
          </w:p>
        </w:tc>
        <w:tc>
          <w:tcPr>
            <w:tcW w:w="3543" w:type="dxa"/>
          </w:tcPr>
          <w:p w:rsidR="002D270A" w:rsidRPr="00AB7752" w:rsidRDefault="002D270A" w:rsidP="00725131">
            <w:pPr>
              <w:rPr>
                <w:b/>
              </w:rPr>
            </w:pPr>
            <w:r>
              <w:rPr>
                <w:b/>
              </w:rPr>
              <w:t>Claire Fauvel</w:t>
            </w:r>
          </w:p>
        </w:tc>
        <w:tc>
          <w:tcPr>
            <w:tcW w:w="3544" w:type="dxa"/>
          </w:tcPr>
          <w:p w:rsidR="002D270A" w:rsidRPr="00AB7752" w:rsidRDefault="002D270A" w:rsidP="00725131">
            <w:pPr>
              <w:rPr>
                <w:b/>
              </w:rPr>
            </w:pPr>
            <w:r>
              <w:rPr>
                <w:b/>
              </w:rPr>
              <w:t>March 2017</w:t>
            </w:r>
          </w:p>
        </w:tc>
        <w:tc>
          <w:tcPr>
            <w:tcW w:w="3544" w:type="dxa"/>
          </w:tcPr>
          <w:p w:rsidR="002D270A" w:rsidRPr="00AB7752" w:rsidRDefault="002D270A" w:rsidP="00725131">
            <w:pPr>
              <w:rPr>
                <w:b/>
              </w:rPr>
            </w:pPr>
          </w:p>
        </w:tc>
      </w:tr>
      <w:tr w:rsidR="002D270A" w:rsidTr="00725131">
        <w:tc>
          <w:tcPr>
            <w:tcW w:w="3543" w:type="dxa"/>
          </w:tcPr>
          <w:p w:rsidR="002D270A" w:rsidRPr="00E8204B" w:rsidRDefault="002D270A" w:rsidP="00725131"/>
        </w:tc>
        <w:tc>
          <w:tcPr>
            <w:tcW w:w="3543" w:type="dxa"/>
          </w:tcPr>
          <w:p w:rsidR="002D270A" w:rsidRPr="00AB7752" w:rsidRDefault="002D270A" w:rsidP="00725131">
            <w:pPr>
              <w:rPr>
                <w:b/>
              </w:rPr>
            </w:pPr>
          </w:p>
        </w:tc>
        <w:tc>
          <w:tcPr>
            <w:tcW w:w="3544" w:type="dxa"/>
          </w:tcPr>
          <w:p w:rsidR="002D270A" w:rsidRPr="00AB7752" w:rsidRDefault="002D270A" w:rsidP="00725131">
            <w:pPr>
              <w:rPr>
                <w:b/>
              </w:rPr>
            </w:pPr>
          </w:p>
        </w:tc>
        <w:tc>
          <w:tcPr>
            <w:tcW w:w="3544" w:type="dxa"/>
          </w:tcPr>
          <w:p w:rsidR="002D270A" w:rsidRPr="00AB7752" w:rsidRDefault="002D270A" w:rsidP="00725131">
            <w:pPr>
              <w:rPr>
                <w:b/>
              </w:rPr>
            </w:pPr>
          </w:p>
        </w:tc>
      </w:tr>
    </w:tbl>
    <w:p w:rsidR="002D270A" w:rsidRPr="002D270A" w:rsidRDefault="002D270A" w:rsidP="00AF3A33"/>
    <w:p w:rsidR="00AF3A33" w:rsidRPr="00AF3A33" w:rsidRDefault="00573BCB" w:rsidP="00AF3A33">
      <w:pPr>
        <w:rPr>
          <w:b/>
        </w:rPr>
      </w:pPr>
      <w:r w:rsidRPr="00573BCB">
        <w:rPr>
          <w:b/>
        </w:rPr>
        <w:t>•</w:t>
      </w:r>
      <w:r w:rsidRPr="00573BCB">
        <w:rPr>
          <w:b/>
        </w:rPr>
        <w:tab/>
        <w:t>Main areas of work undertaken in quarter 1:</w:t>
      </w:r>
    </w:p>
    <w:p w:rsidR="00573BCB" w:rsidRPr="00573BCB" w:rsidRDefault="00573BCB" w:rsidP="00573BCB">
      <w:pPr>
        <w:pStyle w:val="ListParagraph"/>
        <w:numPr>
          <w:ilvl w:val="0"/>
          <w:numId w:val="15"/>
        </w:numPr>
      </w:pPr>
      <w:r w:rsidRPr="00573BCB">
        <w:t xml:space="preserve">The Sub Group has designed a survey to gather the views of young people to inform the development of the Strategy for New Psychoactive Substances Prevention. The survey will be conducted in Sept 2016 </w:t>
      </w:r>
    </w:p>
    <w:p w:rsidR="00573BCB" w:rsidRPr="00573BCB" w:rsidRDefault="00573BCB" w:rsidP="00573BCB">
      <w:pPr>
        <w:pStyle w:val="ListParagraph"/>
        <w:numPr>
          <w:ilvl w:val="0"/>
          <w:numId w:val="15"/>
        </w:numPr>
      </w:pPr>
      <w:r w:rsidRPr="00573BCB">
        <w:rPr>
          <w:bCs/>
        </w:rPr>
        <w:t xml:space="preserve">The Sub Group is making good progress with the review of the implementation of the Substance </w:t>
      </w:r>
      <w:r w:rsidRPr="00573BCB">
        <w:t>Misuse Policy in Schools to help identify resource and training needs</w:t>
      </w:r>
    </w:p>
    <w:p w:rsidR="00573BCB" w:rsidRPr="00573BCB" w:rsidRDefault="00573BCB" w:rsidP="00573BCB">
      <w:pPr>
        <w:pStyle w:val="ListParagraph"/>
        <w:numPr>
          <w:ilvl w:val="0"/>
          <w:numId w:val="15"/>
        </w:numPr>
      </w:pPr>
      <w:r w:rsidRPr="00573BCB">
        <w:rPr>
          <w:bCs/>
        </w:rPr>
        <w:t xml:space="preserve">The sub-group is concerned about the implications of reduced Welsh Government funding for the Police Core Programme in schools and members agreed to make enquiries and if considered helpful to raise the issues with the APB. </w:t>
      </w:r>
    </w:p>
    <w:p w:rsidR="00573BCB" w:rsidRDefault="00573BCB" w:rsidP="00573BCB">
      <w:pPr>
        <w:pStyle w:val="ListParagraph"/>
        <w:ind w:left="360"/>
      </w:pPr>
      <w:r>
        <w:t xml:space="preserve">•  </w:t>
      </w:r>
      <w:r>
        <w:tab/>
        <w:t xml:space="preserve">The Group considered a proposed framework for the NPS Prevention Strategy and </w:t>
      </w:r>
      <w:r>
        <w:tab/>
        <w:t xml:space="preserve">concluded that consultation/insight research with young people would be crucial to the </w:t>
      </w:r>
      <w:r>
        <w:tab/>
        <w:t xml:space="preserve">development of the strategy.  </w:t>
      </w:r>
    </w:p>
    <w:p w:rsidR="00573BCB" w:rsidRDefault="00573BCB" w:rsidP="00573BCB">
      <w:pPr>
        <w:pStyle w:val="ListParagraph"/>
        <w:ind w:left="360"/>
      </w:pPr>
      <w:r>
        <w:t xml:space="preserve">•  </w:t>
      </w:r>
      <w:r>
        <w:tab/>
        <w:t>The Group work</w:t>
      </w:r>
      <w:r w:rsidR="00C0451E">
        <w:t xml:space="preserve"> </w:t>
      </w:r>
      <w:r>
        <w:t xml:space="preserve">plan includes an action to understand the scope and coverage of healthy </w:t>
      </w:r>
      <w:r>
        <w:tab/>
        <w:t xml:space="preserve">workplace and corporate health awards schemes and how these help prevent and reduce </w:t>
      </w:r>
      <w:r>
        <w:tab/>
        <w:t>the misuse of substances and alcohol by working age adults.</w:t>
      </w:r>
    </w:p>
    <w:p w:rsidR="00573BCB" w:rsidRDefault="00573BCB" w:rsidP="00573BCB">
      <w:pPr>
        <w:pStyle w:val="ListParagraph"/>
        <w:ind w:left="360"/>
      </w:pPr>
      <w:r>
        <w:t xml:space="preserve">•  </w:t>
      </w:r>
      <w:r>
        <w:tab/>
        <w:t xml:space="preserve">A Project Initiation Document has been drafted to support a review of substance misuse </w:t>
      </w:r>
      <w:r>
        <w:tab/>
        <w:t xml:space="preserve">education and implementation of a prevention policy within all school settings across the </w:t>
      </w:r>
      <w:r>
        <w:tab/>
        <w:t xml:space="preserve">region. The first aspect is underway - looking at standardising the policy developed for BCBC </w:t>
      </w:r>
      <w:r>
        <w:tab/>
        <w:t xml:space="preserve">for NPT and Swansea.  To ensure all school settings across the Western Bay region adopt and </w:t>
      </w:r>
      <w:r>
        <w:tab/>
        <w:t xml:space="preserve">adhere to the ‘All Schools Substance Misuse Education &amp; Prevention Policy’ and to ensure </w:t>
      </w:r>
      <w:r>
        <w:tab/>
        <w:t xml:space="preserve">that key school staff feel confident and competent to adhere to the procedures as described </w:t>
      </w:r>
      <w:r>
        <w:tab/>
        <w:t>in the policy.</w:t>
      </w:r>
    </w:p>
    <w:p w:rsidR="007B4AC5" w:rsidRDefault="00573BCB" w:rsidP="00573BCB">
      <w:pPr>
        <w:pStyle w:val="ListParagraph"/>
        <w:ind w:left="360"/>
      </w:pPr>
      <w:r>
        <w:t xml:space="preserve">•  </w:t>
      </w:r>
      <w:r>
        <w:tab/>
        <w:t xml:space="preserve">The Group was made aware of some project work being led by the Health Protection Team </w:t>
      </w:r>
      <w:r>
        <w:tab/>
        <w:t xml:space="preserve">in Public Health Wales around sexual health and substance misuse which focuses on </w:t>
      </w:r>
      <w:r>
        <w:tab/>
        <w:t xml:space="preserve">education for sexual health workers regarding substance misuse and vice versa. a pack is </w:t>
      </w:r>
      <w:r>
        <w:tab/>
        <w:t>being developed for these workers.</w:t>
      </w:r>
    </w:p>
    <w:p w:rsidR="00C0451E" w:rsidRDefault="00C0451E" w:rsidP="00573BCB">
      <w:pPr>
        <w:pStyle w:val="ListParagraph"/>
        <w:ind w:left="360"/>
      </w:pPr>
    </w:p>
    <w:p w:rsidR="00C0451E" w:rsidRDefault="00C0451E" w:rsidP="00573BCB">
      <w:pPr>
        <w:pStyle w:val="ListParagraph"/>
        <w:ind w:left="360"/>
        <w:rPr>
          <w:b/>
          <w:u w:val="single"/>
        </w:rPr>
        <w:sectPr w:rsidR="00C0451E">
          <w:footerReference w:type="default" r:id="rId13"/>
          <w:pgSz w:w="11906" w:h="16838"/>
          <w:pgMar w:top="1440" w:right="1440" w:bottom="1440" w:left="1440" w:header="708" w:footer="708" w:gutter="0"/>
          <w:cols w:space="708"/>
          <w:docGrid w:linePitch="360"/>
        </w:sectPr>
      </w:pPr>
    </w:p>
    <w:p w:rsidR="00C0451E" w:rsidRDefault="00C0451E" w:rsidP="00573BCB">
      <w:pPr>
        <w:pStyle w:val="ListParagraph"/>
        <w:ind w:left="360"/>
        <w:rPr>
          <w:b/>
          <w:u w:val="single"/>
        </w:rPr>
      </w:pPr>
      <w:r w:rsidRPr="00C0451E">
        <w:rPr>
          <w:b/>
          <w:u w:val="single"/>
        </w:rPr>
        <w:t>3.</w:t>
      </w:r>
      <w:r w:rsidRPr="00C0451E">
        <w:rPr>
          <w:b/>
          <w:u w:val="single"/>
        </w:rPr>
        <w:tab/>
        <w:t>Financial information</w:t>
      </w:r>
    </w:p>
    <w:p w:rsidR="00C0451E" w:rsidRDefault="00C0451E" w:rsidP="00573BCB">
      <w:pPr>
        <w:pStyle w:val="ListParagraph"/>
        <w:ind w:left="360"/>
        <w:rPr>
          <w:b/>
          <w:u w:val="single"/>
        </w:rPr>
      </w:pPr>
    </w:p>
    <w:p w:rsidR="00C0451E" w:rsidRPr="00C0451E" w:rsidRDefault="00C0451E" w:rsidP="00573BCB">
      <w:pPr>
        <w:pStyle w:val="ListParagraph"/>
        <w:ind w:left="360"/>
        <w:rPr>
          <w:b/>
          <w:u w:val="single"/>
        </w:rPr>
      </w:pPr>
      <w:r w:rsidRPr="00C0451E">
        <w:rPr>
          <w:noProof/>
          <w:lang w:eastAsia="en-GB"/>
        </w:rPr>
        <w:drawing>
          <wp:inline distT="0" distB="0" distL="0" distR="0" wp14:anchorId="76B5FD8F" wp14:editId="3ECD5D4C">
            <wp:extent cx="8863330" cy="45568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63330" cy="4556829"/>
                    </a:xfrm>
                    <a:prstGeom prst="rect">
                      <a:avLst/>
                    </a:prstGeom>
                    <a:noFill/>
                    <a:ln>
                      <a:noFill/>
                    </a:ln>
                  </pic:spPr>
                </pic:pic>
              </a:graphicData>
            </a:graphic>
          </wp:inline>
        </w:drawing>
      </w:r>
    </w:p>
    <w:p w:rsidR="00C0451E" w:rsidRDefault="00C0451E" w:rsidP="00573BCB">
      <w:pPr>
        <w:pStyle w:val="ListParagraph"/>
        <w:ind w:left="360"/>
      </w:pPr>
    </w:p>
    <w:p w:rsidR="00C0451E" w:rsidRDefault="00C0451E" w:rsidP="00573BCB">
      <w:pPr>
        <w:pStyle w:val="ListParagraph"/>
        <w:ind w:left="360"/>
      </w:pPr>
    </w:p>
    <w:p w:rsidR="00754392" w:rsidRDefault="00754392" w:rsidP="00573BCB">
      <w:pPr>
        <w:pStyle w:val="ListParagraph"/>
        <w:ind w:left="360"/>
        <w:rPr>
          <w:b/>
          <w:u w:val="single"/>
        </w:rPr>
      </w:pPr>
    </w:p>
    <w:p w:rsidR="00C0451E" w:rsidRDefault="00754392" w:rsidP="00573BCB">
      <w:pPr>
        <w:pStyle w:val="ListParagraph"/>
        <w:ind w:left="360"/>
        <w:rPr>
          <w:b/>
          <w:u w:val="single"/>
        </w:rPr>
      </w:pPr>
      <w:r w:rsidRPr="00754392">
        <w:rPr>
          <w:b/>
          <w:u w:val="single"/>
        </w:rPr>
        <w:t>4.  Risk Register</w:t>
      </w:r>
      <w:r w:rsidR="002F0D4C">
        <w:rPr>
          <w:b/>
          <w:u w:val="single"/>
        </w:rPr>
        <w:t xml:space="preserve"> as at end June 2016</w:t>
      </w:r>
    </w:p>
    <w:p w:rsidR="002F0D4C" w:rsidRPr="00C62980" w:rsidRDefault="002F0D4C" w:rsidP="002F0D4C">
      <w:pPr>
        <w:spacing w:after="0" w:line="240" w:lineRule="auto"/>
        <w:rPr>
          <w:b/>
        </w:rPr>
      </w:pPr>
      <w:r w:rsidRPr="00C62980">
        <w:rPr>
          <w:b/>
        </w:rPr>
        <w:t>Risk Score Key:</w:t>
      </w:r>
    </w:p>
    <w:p w:rsidR="002F0D4C" w:rsidRPr="00C62980" w:rsidRDefault="002F0D4C" w:rsidP="002F0D4C">
      <w:pPr>
        <w:spacing w:after="0" w:line="240" w:lineRule="auto"/>
        <w:rPr>
          <w:b/>
          <w:color w:val="00B050"/>
        </w:rPr>
      </w:pPr>
      <w:r w:rsidRPr="00C62980">
        <w:rPr>
          <w:b/>
          <w:color w:val="00B050"/>
        </w:rPr>
        <w:t>Low</w:t>
      </w:r>
      <w:r w:rsidRPr="00C62980">
        <w:rPr>
          <w:b/>
          <w:color w:val="00B050"/>
        </w:rPr>
        <w:tab/>
        <w:t>-</w:t>
      </w:r>
      <w:r w:rsidRPr="00C62980">
        <w:rPr>
          <w:b/>
          <w:color w:val="00B050"/>
        </w:rPr>
        <w:tab/>
        <w:t>0-9</w:t>
      </w:r>
    </w:p>
    <w:p w:rsidR="002F0D4C" w:rsidRPr="00C62980" w:rsidRDefault="002F0D4C" w:rsidP="002F0D4C">
      <w:pPr>
        <w:spacing w:after="0" w:line="240" w:lineRule="auto"/>
        <w:rPr>
          <w:b/>
          <w:color w:val="E36C0A" w:themeColor="accent6" w:themeShade="BF"/>
        </w:rPr>
      </w:pPr>
      <w:r w:rsidRPr="00C62980">
        <w:rPr>
          <w:b/>
          <w:color w:val="E36C0A" w:themeColor="accent6" w:themeShade="BF"/>
        </w:rPr>
        <w:t>Med</w:t>
      </w:r>
      <w:r w:rsidRPr="00C62980">
        <w:rPr>
          <w:b/>
          <w:color w:val="E36C0A" w:themeColor="accent6" w:themeShade="BF"/>
        </w:rPr>
        <w:tab/>
        <w:t>-</w:t>
      </w:r>
      <w:r w:rsidRPr="00C62980">
        <w:rPr>
          <w:b/>
          <w:color w:val="E36C0A" w:themeColor="accent6" w:themeShade="BF"/>
        </w:rPr>
        <w:tab/>
        <w:t>10-20</w:t>
      </w:r>
    </w:p>
    <w:p w:rsidR="00754392" w:rsidRDefault="002F0D4C" w:rsidP="002F0D4C">
      <w:pPr>
        <w:spacing w:after="0" w:line="240" w:lineRule="auto"/>
        <w:rPr>
          <w:b/>
          <w:u w:val="single"/>
        </w:rPr>
      </w:pPr>
      <w:r w:rsidRPr="00C62980">
        <w:rPr>
          <w:b/>
          <w:color w:val="FF0000"/>
        </w:rPr>
        <w:t>High</w:t>
      </w:r>
      <w:r w:rsidRPr="00C62980">
        <w:rPr>
          <w:b/>
          <w:color w:val="FF0000"/>
        </w:rPr>
        <w:tab/>
        <w:t>-</w:t>
      </w:r>
      <w:r w:rsidRPr="00C62980">
        <w:rPr>
          <w:b/>
          <w:color w:val="FF0000"/>
        </w:rPr>
        <w:tab/>
        <w:t>20+</w:t>
      </w:r>
    </w:p>
    <w:p w:rsidR="00754392" w:rsidRPr="00754392" w:rsidRDefault="00754392" w:rsidP="00573BCB">
      <w:pPr>
        <w:pStyle w:val="ListParagraph"/>
        <w:ind w:left="360"/>
        <w:rPr>
          <w:b/>
          <w:u w:val="single"/>
        </w:rPr>
      </w:pPr>
    </w:p>
    <w:tbl>
      <w:tblPr>
        <w:tblStyle w:val="TableGrid"/>
        <w:tblW w:w="5189" w:type="pct"/>
        <w:tblLook w:val="04A0" w:firstRow="1" w:lastRow="0" w:firstColumn="1" w:lastColumn="0" w:noHBand="0" w:noVBand="1"/>
      </w:tblPr>
      <w:tblGrid>
        <w:gridCol w:w="2759"/>
        <w:gridCol w:w="2963"/>
        <w:gridCol w:w="1509"/>
        <w:gridCol w:w="1330"/>
        <w:gridCol w:w="1186"/>
        <w:gridCol w:w="62"/>
        <w:gridCol w:w="2492"/>
        <w:gridCol w:w="2409"/>
      </w:tblGrid>
      <w:tr w:rsidR="002F0D4C" w:rsidTr="00725131">
        <w:tc>
          <w:tcPr>
            <w:tcW w:w="938" w:type="pct"/>
          </w:tcPr>
          <w:p w:rsidR="002F0D4C" w:rsidRPr="00870BE2" w:rsidRDefault="002F0D4C" w:rsidP="00725131">
            <w:pPr>
              <w:rPr>
                <w:b/>
              </w:rPr>
            </w:pPr>
            <w:r w:rsidRPr="00870BE2">
              <w:rPr>
                <w:b/>
              </w:rPr>
              <w:t>POTENTIAL ISSUE</w:t>
            </w:r>
          </w:p>
        </w:tc>
        <w:tc>
          <w:tcPr>
            <w:tcW w:w="1007" w:type="pct"/>
          </w:tcPr>
          <w:p w:rsidR="002F0D4C" w:rsidRPr="00870BE2" w:rsidRDefault="002F0D4C" w:rsidP="00725131">
            <w:pPr>
              <w:rPr>
                <w:b/>
              </w:rPr>
            </w:pPr>
            <w:r w:rsidRPr="00870BE2">
              <w:rPr>
                <w:b/>
              </w:rPr>
              <w:t>IMPACT</w:t>
            </w:r>
          </w:p>
        </w:tc>
        <w:tc>
          <w:tcPr>
            <w:tcW w:w="513" w:type="pct"/>
          </w:tcPr>
          <w:p w:rsidR="002F0D4C" w:rsidRPr="00870BE2" w:rsidRDefault="002F0D4C" w:rsidP="00725131">
            <w:pPr>
              <w:rPr>
                <w:b/>
              </w:rPr>
            </w:pPr>
            <w:r w:rsidRPr="00870BE2">
              <w:rPr>
                <w:b/>
              </w:rPr>
              <w:t>LIKELIHOOD</w:t>
            </w:r>
          </w:p>
        </w:tc>
        <w:tc>
          <w:tcPr>
            <w:tcW w:w="452" w:type="pct"/>
          </w:tcPr>
          <w:p w:rsidR="002F0D4C" w:rsidRPr="00870BE2" w:rsidRDefault="002F0D4C" w:rsidP="00725131">
            <w:pPr>
              <w:rPr>
                <w:b/>
              </w:rPr>
            </w:pPr>
            <w:r w:rsidRPr="00870BE2">
              <w:rPr>
                <w:b/>
              </w:rPr>
              <w:t>SEVERITY</w:t>
            </w:r>
          </w:p>
        </w:tc>
        <w:tc>
          <w:tcPr>
            <w:tcW w:w="424" w:type="pct"/>
            <w:gridSpan w:val="2"/>
          </w:tcPr>
          <w:p w:rsidR="002F0D4C" w:rsidRPr="00870BE2" w:rsidRDefault="002F0D4C" w:rsidP="00725131">
            <w:pPr>
              <w:rPr>
                <w:b/>
              </w:rPr>
            </w:pPr>
            <w:r w:rsidRPr="00870BE2">
              <w:rPr>
                <w:b/>
              </w:rPr>
              <w:t>RISK SCORE</w:t>
            </w:r>
          </w:p>
        </w:tc>
        <w:tc>
          <w:tcPr>
            <w:tcW w:w="847" w:type="pct"/>
          </w:tcPr>
          <w:p w:rsidR="002F0D4C" w:rsidRPr="00870BE2" w:rsidRDefault="002F0D4C" w:rsidP="00725131">
            <w:pPr>
              <w:rPr>
                <w:b/>
              </w:rPr>
            </w:pPr>
            <w:r w:rsidRPr="00870BE2">
              <w:rPr>
                <w:b/>
              </w:rPr>
              <w:t>MITIGATING ACTIONS</w:t>
            </w:r>
          </w:p>
        </w:tc>
        <w:tc>
          <w:tcPr>
            <w:tcW w:w="819" w:type="pct"/>
          </w:tcPr>
          <w:p w:rsidR="002F0D4C" w:rsidRPr="00870BE2" w:rsidRDefault="002F0D4C" w:rsidP="00725131">
            <w:pPr>
              <w:jc w:val="center"/>
              <w:rPr>
                <w:b/>
              </w:rPr>
            </w:pPr>
            <w:r>
              <w:rPr>
                <w:b/>
              </w:rPr>
              <w:t>Status Update/Date</w:t>
            </w:r>
          </w:p>
        </w:tc>
      </w:tr>
      <w:tr w:rsidR="002F0D4C" w:rsidTr="00725131">
        <w:tc>
          <w:tcPr>
            <w:tcW w:w="4181" w:type="pct"/>
            <w:gridSpan w:val="7"/>
            <w:shd w:val="pct15" w:color="auto" w:fill="auto"/>
          </w:tcPr>
          <w:p w:rsidR="002F0D4C" w:rsidRPr="00C62980" w:rsidRDefault="002F0D4C" w:rsidP="002F0D4C">
            <w:pPr>
              <w:pStyle w:val="ListParagraph"/>
              <w:numPr>
                <w:ilvl w:val="0"/>
                <w:numId w:val="24"/>
              </w:numPr>
              <w:rPr>
                <w:b/>
              </w:rPr>
            </w:pPr>
            <w:r w:rsidRPr="00C62980">
              <w:rPr>
                <w:b/>
              </w:rPr>
              <w:t>Governance</w:t>
            </w:r>
          </w:p>
        </w:tc>
        <w:tc>
          <w:tcPr>
            <w:tcW w:w="819" w:type="pct"/>
            <w:shd w:val="pct15" w:color="auto" w:fill="auto"/>
          </w:tcPr>
          <w:p w:rsidR="002F0D4C" w:rsidRPr="00C62980" w:rsidRDefault="002F0D4C" w:rsidP="00725131">
            <w:pPr>
              <w:pStyle w:val="ListParagraph"/>
              <w:rPr>
                <w:b/>
              </w:rPr>
            </w:pPr>
          </w:p>
        </w:tc>
      </w:tr>
      <w:tr w:rsidR="002F0D4C" w:rsidTr="00725131">
        <w:tc>
          <w:tcPr>
            <w:tcW w:w="938" w:type="pct"/>
          </w:tcPr>
          <w:p w:rsidR="002F0D4C" w:rsidRDefault="002F0D4C" w:rsidP="002F0D4C">
            <w:pPr>
              <w:pStyle w:val="ListParagraph"/>
              <w:numPr>
                <w:ilvl w:val="0"/>
                <w:numId w:val="16"/>
              </w:numPr>
            </w:pPr>
            <w:r>
              <w:t>Lack of Legal Agreement</w:t>
            </w:r>
          </w:p>
          <w:p w:rsidR="002F0D4C" w:rsidRDefault="002F0D4C" w:rsidP="00725131">
            <w:pPr>
              <w:pStyle w:val="ListParagraph"/>
            </w:pPr>
          </w:p>
          <w:p w:rsidR="002F0D4C" w:rsidRDefault="002F0D4C" w:rsidP="00725131">
            <w:pPr>
              <w:pStyle w:val="ListParagraph"/>
            </w:pPr>
          </w:p>
          <w:p w:rsidR="002F0D4C" w:rsidRDefault="002F0D4C" w:rsidP="00725131">
            <w:pPr>
              <w:pStyle w:val="ListParagraph"/>
            </w:pPr>
          </w:p>
          <w:p w:rsidR="002F0D4C" w:rsidRDefault="002F0D4C" w:rsidP="00725131">
            <w:pPr>
              <w:pStyle w:val="ListParagraph"/>
            </w:pPr>
          </w:p>
        </w:tc>
        <w:tc>
          <w:tcPr>
            <w:tcW w:w="1007" w:type="pct"/>
          </w:tcPr>
          <w:p w:rsidR="002F0D4C" w:rsidRDefault="002F0D4C" w:rsidP="002F0D4C">
            <w:pPr>
              <w:pStyle w:val="ListParagraph"/>
              <w:numPr>
                <w:ilvl w:val="0"/>
                <w:numId w:val="16"/>
              </w:numPr>
            </w:pPr>
            <w:r>
              <w:t>Unable to commission and de-commission services across the APB</w:t>
            </w:r>
          </w:p>
          <w:p w:rsidR="002F0D4C" w:rsidRDefault="002F0D4C" w:rsidP="00725131">
            <w:pPr>
              <w:pStyle w:val="ListParagraph"/>
            </w:pPr>
          </w:p>
          <w:p w:rsidR="002F0D4C" w:rsidRDefault="002F0D4C" w:rsidP="00725131">
            <w:pPr>
              <w:pStyle w:val="ListParagraph"/>
            </w:pPr>
          </w:p>
        </w:tc>
        <w:tc>
          <w:tcPr>
            <w:tcW w:w="513" w:type="pct"/>
          </w:tcPr>
          <w:p w:rsidR="002F0D4C" w:rsidRDefault="002F0D4C" w:rsidP="00725131">
            <w:r>
              <w:t>5</w:t>
            </w:r>
          </w:p>
          <w:p w:rsidR="002F0D4C" w:rsidRDefault="002F0D4C" w:rsidP="00725131"/>
          <w:p w:rsidR="002F0D4C" w:rsidRDefault="002F0D4C" w:rsidP="00725131"/>
          <w:p w:rsidR="002F0D4C" w:rsidRDefault="002F0D4C" w:rsidP="00725131"/>
          <w:p w:rsidR="002F0D4C" w:rsidRDefault="002F0D4C" w:rsidP="00725131"/>
        </w:tc>
        <w:tc>
          <w:tcPr>
            <w:tcW w:w="452" w:type="pct"/>
          </w:tcPr>
          <w:p w:rsidR="002F0D4C" w:rsidRDefault="002F0D4C" w:rsidP="00725131">
            <w:r>
              <w:t>5</w:t>
            </w:r>
          </w:p>
          <w:p w:rsidR="002F0D4C" w:rsidRDefault="002F0D4C" w:rsidP="00725131"/>
          <w:p w:rsidR="002F0D4C" w:rsidRDefault="002F0D4C" w:rsidP="00725131"/>
          <w:p w:rsidR="002F0D4C" w:rsidRDefault="002F0D4C" w:rsidP="00725131"/>
          <w:p w:rsidR="002F0D4C" w:rsidRDefault="002F0D4C" w:rsidP="00725131"/>
        </w:tc>
        <w:tc>
          <w:tcPr>
            <w:tcW w:w="403" w:type="pct"/>
            <w:tcBorders>
              <w:bottom w:val="single" w:sz="4" w:space="0" w:color="auto"/>
            </w:tcBorders>
            <w:shd w:val="clear" w:color="auto" w:fill="FF0000"/>
          </w:tcPr>
          <w:p w:rsidR="002F0D4C" w:rsidRDefault="002F0D4C" w:rsidP="00725131">
            <w:r>
              <w:t>25</w:t>
            </w:r>
          </w:p>
          <w:p w:rsidR="002F0D4C" w:rsidRDefault="002F0D4C" w:rsidP="00725131"/>
          <w:p w:rsidR="002F0D4C" w:rsidRDefault="002F0D4C" w:rsidP="00725131"/>
          <w:p w:rsidR="002F0D4C" w:rsidRDefault="002F0D4C" w:rsidP="00725131"/>
          <w:p w:rsidR="002F0D4C" w:rsidRDefault="002F0D4C" w:rsidP="00725131"/>
          <w:p w:rsidR="002F0D4C" w:rsidRDefault="002F0D4C" w:rsidP="00725131"/>
        </w:tc>
        <w:tc>
          <w:tcPr>
            <w:tcW w:w="868" w:type="pct"/>
            <w:gridSpan w:val="2"/>
          </w:tcPr>
          <w:p w:rsidR="002F0D4C" w:rsidRDefault="002F0D4C" w:rsidP="002F0D4C">
            <w:pPr>
              <w:pStyle w:val="ListParagraph"/>
              <w:numPr>
                <w:ilvl w:val="0"/>
                <w:numId w:val="17"/>
              </w:numPr>
            </w:pPr>
            <w:r>
              <w:t>Obtain partners agreement to enable enactment of the legal agreement</w:t>
            </w:r>
          </w:p>
        </w:tc>
        <w:tc>
          <w:tcPr>
            <w:tcW w:w="819" w:type="pct"/>
          </w:tcPr>
          <w:p w:rsidR="002F0D4C" w:rsidRDefault="002F0D4C" w:rsidP="00725131">
            <w:pPr>
              <w:pStyle w:val="ListParagraph"/>
              <w:ind w:left="360"/>
            </w:pPr>
            <w:r>
              <w:t>S.33 Agreement has been drafted, Regional Team have made additions, will be ready to circulate on a wider basis shortly (June/July 2016)</w:t>
            </w:r>
          </w:p>
        </w:tc>
      </w:tr>
      <w:tr w:rsidR="002F0D4C" w:rsidTr="00725131">
        <w:tc>
          <w:tcPr>
            <w:tcW w:w="938" w:type="pct"/>
          </w:tcPr>
          <w:p w:rsidR="002F0D4C" w:rsidRDefault="002F0D4C" w:rsidP="002F0D4C">
            <w:pPr>
              <w:pStyle w:val="ListParagraph"/>
              <w:numPr>
                <w:ilvl w:val="0"/>
                <w:numId w:val="16"/>
              </w:numPr>
            </w:pPr>
            <w:r w:rsidRPr="00C62980">
              <w:t>Lack of MOU</w:t>
            </w:r>
          </w:p>
        </w:tc>
        <w:tc>
          <w:tcPr>
            <w:tcW w:w="1007" w:type="pct"/>
          </w:tcPr>
          <w:p w:rsidR="002F0D4C" w:rsidRDefault="002F0D4C" w:rsidP="002F0D4C">
            <w:pPr>
              <w:pStyle w:val="ListParagraph"/>
              <w:numPr>
                <w:ilvl w:val="0"/>
                <w:numId w:val="16"/>
              </w:numPr>
            </w:pPr>
            <w:r w:rsidRPr="00C62980">
              <w:t>No clarity of roles and responsibilities between APB partners</w:t>
            </w:r>
          </w:p>
        </w:tc>
        <w:tc>
          <w:tcPr>
            <w:tcW w:w="513" w:type="pct"/>
          </w:tcPr>
          <w:p w:rsidR="002F0D4C" w:rsidRDefault="002F0D4C" w:rsidP="00725131">
            <w:r>
              <w:t>0</w:t>
            </w:r>
          </w:p>
          <w:p w:rsidR="002F0D4C" w:rsidRDefault="002F0D4C" w:rsidP="00725131"/>
        </w:tc>
        <w:tc>
          <w:tcPr>
            <w:tcW w:w="452" w:type="pct"/>
          </w:tcPr>
          <w:p w:rsidR="002F0D4C" w:rsidRDefault="002F0D4C" w:rsidP="00725131">
            <w:r>
              <w:t>0</w:t>
            </w:r>
          </w:p>
          <w:p w:rsidR="002F0D4C" w:rsidRDefault="002F0D4C" w:rsidP="00725131"/>
        </w:tc>
        <w:tc>
          <w:tcPr>
            <w:tcW w:w="403" w:type="pct"/>
            <w:tcBorders>
              <w:bottom w:val="single" w:sz="4" w:space="0" w:color="auto"/>
            </w:tcBorders>
            <w:shd w:val="clear" w:color="auto" w:fill="92D050"/>
          </w:tcPr>
          <w:p w:rsidR="002F0D4C" w:rsidRDefault="002F0D4C" w:rsidP="00725131">
            <w:r>
              <w:t>0</w:t>
            </w:r>
          </w:p>
          <w:p w:rsidR="002F0D4C" w:rsidRDefault="002F0D4C" w:rsidP="00725131"/>
        </w:tc>
        <w:tc>
          <w:tcPr>
            <w:tcW w:w="868" w:type="pct"/>
            <w:gridSpan w:val="2"/>
          </w:tcPr>
          <w:p w:rsidR="002F0D4C" w:rsidRPr="00C62980" w:rsidRDefault="002F0D4C" w:rsidP="002F0D4C">
            <w:pPr>
              <w:pStyle w:val="ListParagraph"/>
              <w:numPr>
                <w:ilvl w:val="0"/>
                <w:numId w:val="17"/>
              </w:numPr>
            </w:pPr>
            <w:r w:rsidRPr="00C62980">
              <w:t>Agree MOU with partner</w:t>
            </w:r>
            <w:r>
              <w:t>s</w:t>
            </w:r>
          </w:p>
          <w:p w:rsidR="002F0D4C" w:rsidRDefault="002F0D4C" w:rsidP="00725131">
            <w:pPr>
              <w:pStyle w:val="ListParagraph"/>
            </w:pPr>
          </w:p>
        </w:tc>
        <w:tc>
          <w:tcPr>
            <w:tcW w:w="819" w:type="pct"/>
          </w:tcPr>
          <w:p w:rsidR="002F0D4C" w:rsidRPr="00C62980" w:rsidRDefault="002F0D4C" w:rsidP="00725131">
            <w:pPr>
              <w:pStyle w:val="ListParagraph"/>
              <w:ind w:left="360"/>
            </w:pPr>
            <w:r>
              <w:t>New Governance Framework, including MOU agreed by APB in April 2016.</w:t>
            </w:r>
          </w:p>
        </w:tc>
      </w:tr>
      <w:tr w:rsidR="002F0D4C" w:rsidTr="00725131">
        <w:tc>
          <w:tcPr>
            <w:tcW w:w="938" w:type="pct"/>
          </w:tcPr>
          <w:p w:rsidR="002F0D4C" w:rsidRDefault="002F0D4C" w:rsidP="002F0D4C">
            <w:pPr>
              <w:pStyle w:val="ListParagraph"/>
              <w:numPr>
                <w:ilvl w:val="0"/>
                <w:numId w:val="16"/>
              </w:numPr>
            </w:pPr>
            <w:r w:rsidRPr="00C62980">
              <w:t>Structure of APB</w:t>
            </w:r>
          </w:p>
        </w:tc>
        <w:tc>
          <w:tcPr>
            <w:tcW w:w="1007" w:type="pct"/>
          </w:tcPr>
          <w:p w:rsidR="002F0D4C" w:rsidRDefault="002F0D4C" w:rsidP="002F0D4C">
            <w:pPr>
              <w:pStyle w:val="ListParagraph"/>
              <w:numPr>
                <w:ilvl w:val="0"/>
                <w:numId w:val="16"/>
              </w:numPr>
            </w:pPr>
            <w:r>
              <w:t xml:space="preserve">Lack of clarity in respect of decision making </w:t>
            </w:r>
          </w:p>
        </w:tc>
        <w:tc>
          <w:tcPr>
            <w:tcW w:w="513" w:type="pct"/>
          </w:tcPr>
          <w:p w:rsidR="002F0D4C" w:rsidRDefault="002F0D4C" w:rsidP="00725131">
            <w:r>
              <w:t>0</w:t>
            </w:r>
          </w:p>
        </w:tc>
        <w:tc>
          <w:tcPr>
            <w:tcW w:w="452" w:type="pct"/>
          </w:tcPr>
          <w:p w:rsidR="002F0D4C" w:rsidRDefault="002F0D4C" w:rsidP="00725131">
            <w:r>
              <w:t>0</w:t>
            </w:r>
          </w:p>
        </w:tc>
        <w:tc>
          <w:tcPr>
            <w:tcW w:w="403" w:type="pct"/>
            <w:shd w:val="clear" w:color="auto" w:fill="92D050"/>
          </w:tcPr>
          <w:p w:rsidR="002F0D4C" w:rsidRDefault="002F0D4C" w:rsidP="00725131">
            <w:r>
              <w:t>0</w:t>
            </w:r>
          </w:p>
          <w:p w:rsidR="002F0D4C" w:rsidRDefault="002F0D4C" w:rsidP="00725131"/>
        </w:tc>
        <w:tc>
          <w:tcPr>
            <w:tcW w:w="868" w:type="pct"/>
            <w:gridSpan w:val="2"/>
          </w:tcPr>
          <w:p w:rsidR="002F0D4C" w:rsidRDefault="002F0D4C" w:rsidP="002F0D4C">
            <w:pPr>
              <w:pStyle w:val="ListParagraph"/>
              <w:numPr>
                <w:ilvl w:val="0"/>
                <w:numId w:val="17"/>
              </w:numPr>
            </w:pPr>
            <w:r>
              <w:t>APB has been restructured, changes to take effect from 16/17. Reviewed periodically</w:t>
            </w:r>
          </w:p>
        </w:tc>
        <w:tc>
          <w:tcPr>
            <w:tcW w:w="819" w:type="pct"/>
          </w:tcPr>
          <w:p w:rsidR="002F0D4C" w:rsidRDefault="002F0D4C" w:rsidP="00725131">
            <w:pPr>
              <w:pStyle w:val="ListParagraph"/>
              <w:ind w:left="360"/>
            </w:pPr>
            <w:r>
              <w:t>All sub group changes now operational. Sub groups either have or are working on work plans.</w:t>
            </w:r>
          </w:p>
        </w:tc>
      </w:tr>
      <w:tr w:rsidR="002F0D4C" w:rsidTr="00725131">
        <w:tc>
          <w:tcPr>
            <w:tcW w:w="938" w:type="pct"/>
          </w:tcPr>
          <w:p w:rsidR="002F0D4C" w:rsidRDefault="002F0D4C" w:rsidP="002F0D4C">
            <w:pPr>
              <w:pStyle w:val="ListParagraph"/>
              <w:numPr>
                <w:ilvl w:val="0"/>
                <w:numId w:val="16"/>
              </w:numPr>
            </w:pPr>
            <w:r>
              <w:t>Lack of funding for the Regional  Commissioning Team</w:t>
            </w:r>
          </w:p>
          <w:p w:rsidR="002F0D4C" w:rsidRDefault="002F0D4C" w:rsidP="00725131">
            <w:pPr>
              <w:pStyle w:val="ListParagraph"/>
            </w:pPr>
          </w:p>
        </w:tc>
        <w:tc>
          <w:tcPr>
            <w:tcW w:w="1007" w:type="pct"/>
          </w:tcPr>
          <w:p w:rsidR="002F0D4C" w:rsidRDefault="002F0D4C" w:rsidP="002F0D4C">
            <w:pPr>
              <w:pStyle w:val="ListParagraph"/>
              <w:numPr>
                <w:ilvl w:val="0"/>
                <w:numId w:val="16"/>
              </w:numPr>
            </w:pPr>
            <w:r>
              <w:t>Reduced capacity to monitor and commission services and to provide general APB support</w:t>
            </w:r>
          </w:p>
          <w:p w:rsidR="002F0D4C" w:rsidRDefault="002F0D4C" w:rsidP="00725131">
            <w:pPr>
              <w:pStyle w:val="ListParagraph"/>
            </w:pPr>
          </w:p>
        </w:tc>
        <w:tc>
          <w:tcPr>
            <w:tcW w:w="513" w:type="pct"/>
          </w:tcPr>
          <w:p w:rsidR="002F0D4C" w:rsidRDefault="002F0D4C" w:rsidP="00725131">
            <w:r>
              <w:t>0</w:t>
            </w:r>
          </w:p>
          <w:p w:rsidR="002F0D4C" w:rsidRDefault="002F0D4C" w:rsidP="00725131"/>
        </w:tc>
        <w:tc>
          <w:tcPr>
            <w:tcW w:w="452" w:type="pct"/>
          </w:tcPr>
          <w:p w:rsidR="002F0D4C" w:rsidRDefault="002F0D4C" w:rsidP="00725131">
            <w:r>
              <w:t>0</w:t>
            </w:r>
          </w:p>
        </w:tc>
        <w:tc>
          <w:tcPr>
            <w:tcW w:w="403" w:type="pct"/>
            <w:shd w:val="clear" w:color="auto" w:fill="92D050"/>
          </w:tcPr>
          <w:p w:rsidR="002F0D4C" w:rsidRDefault="002F0D4C" w:rsidP="00725131">
            <w:r>
              <w:t>0</w:t>
            </w:r>
          </w:p>
        </w:tc>
        <w:tc>
          <w:tcPr>
            <w:tcW w:w="868" w:type="pct"/>
            <w:gridSpan w:val="2"/>
          </w:tcPr>
          <w:p w:rsidR="002F0D4C" w:rsidRDefault="002F0D4C" w:rsidP="00725131">
            <w:pPr>
              <w:pStyle w:val="ListParagraph"/>
              <w:ind w:left="360"/>
            </w:pPr>
          </w:p>
        </w:tc>
        <w:tc>
          <w:tcPr>
            <w:tcW w:w="819" w:type="pct"/>
          </w:tcPr>
          <w:p w:rsidR="002F0D4C" w:rsidRDefault="002F0D4C" w:rsidP="00725131">
            <w:pPr>
              <w:pStyle w:val="ListParagraph"/>
              <w:ind w:left="360"/>
            </w:pPr>
            <w:r>
              <w:t>Issue now resolved – new team structure taken to personnel committee in April 2016.</w:t>
            </w:r>
          </w:p>
          <w:p w:rsidR="002F0D4C" w:rsidRDefault="002F0D4C" w:rsidP="00725131">
            <w:pPr>
              <w:pStyle w:val="ListParagraph"/>
              <w:ind w:left="360"/>
            </w:pPr>
          </w:p>
        </w:tc>
      </w:tr>
      <w:tr w:rsidR="002F0D4C" w:rsidTr="00725131">
        <w:tc>
          <w:tcPr>
            <w:tcW w:w="4181" w:type="pct"/>
            <w:gridSpan w:val="7"/>
            <w:shd w:val="pct15" w:color="auto" w:fill="auto"/>
          </w:tcPr>
          <w:p w:rsidR="002F0D4C" w:rsidRPr="00C62980" w:rsidRDefault="002F0D4C" w:rsidP="002F0D4C">
            <w:pPr>
              <w:pStyle w:val="ListParagraph"/>
              <w:numPr>
                <w:ilvl w:val="0"/>
                <w:numId w:val="24"/>
              </w:numPr>
              <w:rPr>
                <w:b/>
              </w:rPr>
            </w:pPr>
            <w:r w:rsidRPr="00C62980">
              <w:rPr>
                <w:b/>
              </w:rPr>
              <w:t>Finance</w:t>
            </w:r>
          </w:p>
        </w:tc>
        <w:tc>
          <w:tcPr>
            <w:tcW w:w="819" w:type="pct"/>
            <w:shd w:val="pct15" w:color="auto" w:fill="auto"/>
          </w:tcPr>
          <w:p w:rsidR="002F0D4C" w:rsidRPr="00C62980" w:rsidRDefault="002F0D4C" w:rsidP="00725131">
            <w:pPr>
              <w:pStyle w:val="ListParagraph"/>
              <w:rPr>
                <w:b/>
              </w:rPr>
            </w:pPr>
          </w:p>
        </w:tc>
      </w:tr>
      <w:tr w:rsidR="002F0D4C" w:rsidTr="00783303">
        <w:tc>
          <w:tcPr>
            <w:tcW w:w="938" w:type="pct"/>
          </w:tcPr>
          <w:p w:rsidR="002F0D4C" w:rsidRDefault="002F0D4C" w:rsidP="002F0D4C">
            <w:pPr>
              <w:pStyle w:val="ListParagraph"/>
              <w:numPr>
                <w:ilvl w:val="0"/>
                <w:numId w:val="16"/>
              </w:numPr>
            </w:pPr>
            <w:r>
              <w:t>Reduction in SMAF Funding</w:t>
            </w:r>
          </w:p>
          <w:p w:rsidR="002F0D4C" w:rsidRDefault="002F0D4C" w:rsidP="00725131">
            <w:pPr>
              <w:pStyle w:val="ListParagraph"/>
            </w:pPr>
          </w:p>
          <w:p w:rsidR="002F0D4C" w:rsidRDefault="002F0D4C" w:rsidP="00725131">
            <w:pPr>
              <w:pStyle w:val="ListParagraph"/>
            </w:pPr>
          </w:p>
        </w:tc>
        <w:tc>
          <w:tcPr>
            <w:tcW w:w="1007" w:type="pct"/>
          </w:tcPr>
          <w:p w:rsidR="002F0D4C" w:rsidRDefault="002F0D4C" w:rsidP="002F0D4C">
            <w:pPr>
              <w:pStyle w:val="ListParagraph"/>
              <w:numPr>
                <w:ilvl w:val="0"/>
                <w:numId w:val="16"/>
              </w:numPr>
            </w:pPr>
            <w:r>
              <w:t>Less services available for service across the WB APB</w:t>
            </w:r>
          </w:p>
          <w:p w:rsidR="002F0D4C" w:rsidRDefault="002F0D4C" w:rsidP="00725131">
            <w:pPr>
              <w:pStyle w:val="ListParagraph"/>
            </w:pPr>
          </w:p>
          <w:p w:rsidR="002F0D4C" w:rsidRDefault="002F0D4C" w:rsidP="00725131">
            <w:pPr>
              <w:pStyle w:val="ListParagraph"/>
            </w:pPr>
          </w:p>
          <w:p w:rsidR="002F0D4C" w:rsidRDefault="002F0D4C" w:rsidP="00725131">
            <w:pPr>
              <w:pStyle w:val="ListParagraph"/>
            </w:pPr>
          </w:p>
          <w:p w:rsidR="002F0D4C" w:rsidRDefault="002F0D4C" w:rsidP="00725131">
            <w:pPr>
              <w:pStyle w:val="ListParagraph"/>
            </w:pPr>
          </w:p>
          <w:p w:rsidR="002F0D4C" w:rsidRDefault="002F0D4C" w:rsidP="00725131">
            <w:pPr>
              <w:pStyle w:val="ListParagraph"/>
            </w:pPr>
          </w:p>
        </w:tc>
        <w:tc>
          <w:tcPr>
            <w:tcW w:w="513" w:type="pct"/>
          </w:tcPr>
          <w:p w:rsidR="002F0D4C" w:rsidRDefault="002F0D4C" w:rsidP="00725131">
            <w:r>
              <w:t>4</w:t>
            </w:r>
          </w:p>
          <w:p w:rsidR="002F0D4C" w:rsidRDefault="002F0D4C" w:rsidP="00725131"/>
          <w:p w:rsidR="002F0D4C" w:rsidRDefault="002F0D4C" w:rsidP="00725131"/>
          <w:p w:rsidR="002F0D4C" w:rsidRDefault="002F0D4C" w:rsidP="00725131"/>
          <w:p w:rsidR="002F0D4C" w:rsidRDefault="002F0D4C" w:rsidP="00725131"/>
          <w:p w:rsidR="002F0D4C" w:rsidRDefault="002F0D4C" w:rsidP="00725131"/>
          <w:p w:rsidR="002F0D4C" w:rsidRDefault="002F0D4C" w:rsidP="00725131"/>
          <w:p w:rsidR="002F0D4C" w:rsidRDefault="002F0D4C" w:rsidP="00725131"/>
          <w:p w:rsidR="002F0D4C" w:rsidRDefault="002F0D4C" w:rsidP="00725131"/>
          <w:p w:rsidR="002F0D4C" w:rsidRDefault="002F0D4C" w:rsidP="00725131"/>
          <w:p w:rsidR="002F0D4C" w:rsidRDefault="002F0D4C" w:rsidP="00725131"/>
          <w:p w:rsidR="002F0D4C" w:rsidRDefault="002F0D4C" w:rsidP="00725131"/>
        </w:tc>
        <w:tc>
          <w:tcPr>
            <w:tcW w:w="452" w:type="pct"/>
          </w:tcPr>
          <w:p w:rsidR="002F0D4C" w:rsidRDefault="002F0D4C" w:rsidP="00725131">
            <w:r>
              <w:t>5</w:t>
            </w:r>
          </w:p>
          <w:p w:rsidR="002F0D4C" w:rsidRDefault="002F0D4C" w:rsidP="00725131"/>
          <w:p w:rsidR="002F0D4C" w:rsidRDefault="002F0D4C" w:rsidP="00725131"/>
          <w:p w:rsidR="002F0D4C" w:rsidRDefault="002F0D4C" w:rsidP="00725131"/>
          <w:p w:rsidR="002F0D4C" w:rsidRDefault="002F0D4C" w:rsidP="00725131"/>
          <w:p w:rsidR="002F0D4C" w:rsidRDefault="002F0D4C" w:rsidP="00725131"/>
          <w:p w:rsidR="002F0D4C" w:rsidRDefault="002F0D4C" w:rsidP="00725131"/>
          <w:p w:rsidR="002F0D4C" w:rsidRDefault="002F0D4C" w:rsidP="00725131"/>
          <w:p w:rsidR="002F0D4C" w:rsidRDefault="002F0D4C" w:rsidP="00725131"/>
          <w:p w:rsidR="002F0D4C" w:rsidRDefault="002F0D4C" w:rsidP="00725131"/>
          <w:p w:rsidR="002F0D4C" w:rsidRDefault="002F0D4C" w:rsidP="00725131"/>
          <w:p w:rsidR="002F0D4C" w:rsidRDefault="002F0D4C" w:rsidP="00725131"/>
        </w:tc>
        <w:tc>
          <w:tcPr>
            <w:tcW w:w="424" w:type="pct"/>
            <w:gridSpan w:val="2"/>
            <w:tcBorders>
              <w:bottom w:val="single" w:sz="4" w:space="0" w:color="auto"/>
            </w:tcBorders>
            <w:shd w:val="clear" w:color="auto" w:fill="E36C0A" w:themeFill="accent6" w:themeFillShade="BF"/>
          </w:tcPr>
          <w:p w:rsidR="002F0D4C" w:rsidRDefault="002F0D4C" w:rsidP="00783303">
            <w:pPr>
              <w:shd w:val="clear" w:color="auto" w:fill="E36C0A" w:themeFill="accent6" w:themeFillShade="BF"/>
            </w:pPr>
            <w:r>
              <w:t>20</w:t>
            </w:r>
          </w:p>
          <w:p w:rsidR="002F0D4C" w:rsidRDefault="002F0D4C" w:rsidP="00783303">
            <w:pPr>
              <w:shd w:val="clear" w:color="auto" w:fill="E36C0A" w:themeFill="accent6" w:themeFillShade="BF"/>
            </w:pPr>
          </w:p>
          <w:p w:rsidR="002F0D4C" w:rsidRDefault="002F0D4C" w:rsidP="00725131"/>
          <w:p w:rsidR="002F0D4C" w:rsidRDefault="002F0D4C" w:rsidP="00725131"/>
          <w:p w:rsidR="002F0D4C" w:rsidRDefault="002F0D4C" w:rsidP="00725131"/>
          <w:p w:rsidR="002F0D4C" w:rsidRDefault="002F0D4C" w:rsidP="00725131"/>
          <w:p w:rsidR="002F0D4C" w:rsidRDefault="002F0D4C" w:rsidP="00725131"/>
          <w:p w:rsidR="002F0D4C" w:rsidRDefault="002F0D4C" w:rsidP="00725131"/>
          <w:p w:rsidR="002F0D4C" w:rsidRDefault="002F0D4C" w:rsidP="00725131"/>
          <w:p w:rsidR="002F0D4C" w:rsidRDefault="002F0D4C" w:rsidP="00725131"/>
          <w:p w:rsidR="002F0D4C" w:rsidRDefault="002F0D4C" w:rsidP="00725131"/>
        </w:tc>
        <w:tc>
          <w:tcPr>
            <w:tcW w:w="847" w:type="pct"/>
          </w:tcPr>
          <w:p w:rsidR="002F0D4C" w:rsidRDefault="002F0D4C" w:rsidP="002F0D4C">
            <w:pPr>
              <w:pStyle w:val="ListParagraph"/>
              <w:numPr>
                <w:ilvl w:val="0"/>
                <w:numId w:val="19"/>
              </w:numPr>
            </w:pPr>
            <w:r>
              <w:t>Review Services to ensure that there is still adequate provision in respect of prevention, education and treatment across the WB APB</w:t>
            </w:r>
          </w:p>
        </w:tc>
        <w:tc>
          <w:tcPr>
            <w:tcW w:w="819" w:type="pct"/>
          </w:tcPr>
          <w:p w:rsidR="002F0D4C" w:rsidRDefault="002F0D4C" w:rsidP="00725131">
            <w:pPr>
              <w:pStyle w:val="ListParagraph"/>
              <w:ind w:left="360"/>
            </w:pPr>
            <w:r>
              <w:t>WG now confirmed 2016/17 budget remains unchanged.</w:t>
            </w:r>
          </w:p>
          <w:p w:rsidR="002F0D4C" w:rsidRDefault="002F0D4C" w:rsidP="00725131">
            <w:pPr>
              <w:pStyle w:val="ListParagraph"/>
              <w:ind w:left="360"/>
            </w:pPr>
          </w:p>
          <w:p w:rsidR="002F0D4C" w:rsidRDefault="002F0D4C" w:rsidP="00725131">
            <w:pPr>
              <w:pStyle w:val="ListParagraph"/>
              <w:ind w:left="360"/>
            </w:pPr>
          </w:p>
          <w:p w:rsidR="002F0D4C" w:rsidRDefault="002F0D4C" w:rsidP="00725131">
            <w:pPr>
              <w:pStyle w:val="ListParagraph"/>
              <w:ind w:left="360"/>
            </w:pPr>
          </w:p>
          <w:p w:rsidR="002F0D4C" w:rsidRDefault="002F0D4C" w:rsidP="00725131">
            <w:pPr>
              <w:pStyle w:val="ListParagraph"/>
              <w:ind w:left="360"/>
            </w:pPr>
          </w:p>
          <w:p w:rsidR="002F0D4C" w:rsidRDefault="002F0D4C" w:rsidP="00725131">
            <w:pPr>
              <w:pStyle w:val="ListParagraph"/>
              <w:ind w:left="360"/>
            </w:pPr>
          </w:p>
          <w:p w:rsidR="002F0D4C" w:rsidRDefault="002F0D4C" w:rsidP="00725131">
            <w:pPr>
              <w:pStyle w:val="ListParagraph"/>
              <w:ind w:left="360"/>
            </w:pPr>
          </w:p>
        </w:tc>
      </w:tr>
      <w:tr w:rsidR="002F0D4C" w:rsidTr="00783303">
        <w:tc>
          <w:tcPr>
            <w:tcW w:w="938" w:type="pct"/>
          </w:tcPr>
          <w:p w:rsidR="002F0D4C" w:rsidRDefault="002F0D4C" w:rsidP="002F0D4C">
            <w:pPr>
              <w:pStyle w:val="ListParagraph"/>
              <w:numPr>
                <w:ilvl w:val="0"/>
                <w:numId w:val="16"/>
              </w:numPr>
            </w:pPr>
            <w:r>
              <w:t>Reduction in partner contributions</w:t>
            </w:r>
          </w:p>
          <w:p w:rsidR="002F0D4C" w:rsidRDefault="002F0D4C" w:rsidP="00725131">
            <w:pPr>
              <w:pStyle w:val="ListParagraph"/>
            </w:pPr>
          </w:p>
        </w:tc>
        <w:tc>
          <w:tcPr>
            <w:tcW w:w="1007" w:type="pct"/>
          </w:tcPr>
          <w:p w:rsidR="002F0D4C" w:rsidRDefault="002F0D4C" w:rsidP="002F0D4C">
            <w:pPr>
              <w:pStyle w:val="ListParagraph"/>
              <w:numPr>
                <w:ilvl w:val="0"/>
                <w:numId w:val="16"/>
              </w:numPr>
            </w:pPr>
            <w:r>
              <w:t>Less services available for service across the WB APB</w:t>
            </w:r>
          </w:p>
          <w:p w:rsidR="002F0D4C" w:rsidRDefault="002F0D4C" w:rsidP="00725131">
            <w:pPr>
              <w:pStyle w:val="ListParagraph"/>
            </w:pPr>
          </w:p>
        </w:tc>
        <w:tc>
          <w:tcPr>
            <w:tcW w:w="513" w:type="pct"/>
          </w:tcPr>
          <w:p w:rsidR="002F0D4C" w:rsidRDefault="002F0D4C" w:rsidP="00725131">
            <w:r>
              <w:t>4</w:t>
            </w:r>
          </w:p>
          <w:p w:rsidR="002F0D4C" w:rsidRDefault="002F0D4C" w:rsidP="00725131"/>
        </w:tc>
        <w:tc>
          <w:tcPr>
            <w:tcW w:w="452" w:type="pct"/>
          </w:tcPr>
          <w:p w:rsidR="002F0D4C" w:rsidRDefault="002F0D4C" w:rsidP="00725131">
            <w:r>
              <w:t>5</w:t>
            </w:r>
          </w:p>
          <w:p w:rsidR="002F0D4C" w:rsidRDefault="002F0D4C" w:rsidP="00725131"/>
        </w:tc>
        <w:tc>
          <w:tcPr>
            <w:tcW w:w="424" w:type="pct"/>
            <w:gridSpan w:val="2"/>
            <w:tcBorders>
              <w:bottom w:val="single" w:sz="4" w:space="0" w:color="auto"/>
            </w:tcBorders>
            <w:shd w:val="clear" w:color="auto" w:fill="E36C0A" w:themeFill="accent6" w:themeFillShade="BF"/>
          </w:tcPr>
          <w:p w:rsidR="002F0D4C" w:rsidRDefault="002F0D4C" w:rsidP="00725131">
            <w:r>
              <w:t>20</w:t>
            </w:r>
          </w:p>
          <w:p w:rsidR="002F0D4C" w:rsidRDefault="002F0D4C" w:rsidP="00725131"/>
        </w:tc>
        <w:tc>
          <w:tcPr>
            <w:tcW w:w="847" w:type="pct"/>
          </w:tcPr>
          <w:p w:rsidR="002F0D4C" w:rsidRDefault="002F0D4C" w:rsidP="002F0D4C">
            <w:pPr>
              <w:pStyle w:val="ListParagraph"/>
              <w:numPr>
                <w:ilvl w:val="0"/>
                <w:numId w:val="19"/>
              </w:numPr>
            </w:pPr>
            <w:r>
              <w:t>Review Services to ensure that there is still adequate provision in respect of prevention, education and treatment across the WB APB</w:t>
            </w:r>
          </w:p>
          <w:p w:rsidR="002F0D4C" w:rsidRDefault="002F0D4C" w:rsidP="00725131">
            <w:pPr>
              <w:pStyle w:val="ListParagraph"/>
            </w:pPr>
          </w:p>
        </w:tc>
        <w:tc>
          <w:tcPr>
            <w:tcW w:w="819" w:type="pct"/>
          </w:tcPr>
          <w:p w:rsidR="002F0D4C" w:rsidRDefault="002F0D4C" w:rsidP="00725131">
            <w:pPr>
              <w:pStyle w:val="ListParagraph"/>
              <w:ind w:left="360"/>
            </w:pPr>
            <w:r>
              <w:t>No progress at present.</w:t>
            </w:r>
          </w:p>
        </w:tc>
      </w:tr>
      <w:tr w:rsidR="002F0D4C" w:rsidTr="00725131">
        <w:tc>
          <w:tcPr>
            <w:tcW w:w="4181" w:type="pct"/>
            <w:gridSpan w:val="7"/>
            <w:shd w:val="pct15" w:color="auto" w:fill="auto"/>
          </w:tcPr>
          <w:p w:rsidR="002F0D4C" w:rsidRPr="007F043F" w:rsidRDefault="002F0D4C" w:rsidP="002F0D4C">
            <w:pPr>
              <w:pStyle w:val="ListParagraph"/>
              <w:numPr>
                <w:ilvl w:val="0"/>
                <w:numId w:val="24"/>
              </w:numPr>
              <w:rPr>
                <w:b/>
              </w:rPr>
            </w:pPr>
            <w:r w:rsidRPr="007F043F">
              <w:rPr>
                <w:b/>
              </w:rPr>
              <w:t>Service Delivery</w:t>
            </w:r>
          </w:p>
        </w:tc>
        <w:tc>
          <w:tcPr>
            <w:tcW w:w="819" w:type="pct"/>
            <w:shd w:val="pct15" w:color="auto" w:fill="auto"/>
          </w:tcPr>
          <w:p w:rsidR="002F0D4C" w:rsidRPr="007F043F" w:rsidRDefault="002F0D4C" w:rsidP="00725131">
            <w:pPr>
              <w:pStyle w:val="ListParagraph"/>
              <w:rPr>
                <w:b/>
              </w:rPr>
            </w:pPr>
          </w:p>
        </w:tc>
      </w:tr>
      <w:tr w:rsidR="002F0D4C" w:rsidTr="00725131">
        <w:trPr>
          <w:trHeight w:val="58"/>
        </w:trPr>
        <w:tc>
          <w:tcPr>
            <w:tcW w:w="938" w:type="pct"/>
          </w:tcPr>
          <w:p w:rsidR="002F0D4C" w:rsidRDefault="002F0D4C" w:rsidP="002F0D4C">
            <w:pPr>
              <w:pStyle w:val="ListParagraph"/>
              <w:numPr>
                <w:ilvl w:val="0"/>
                <w:numId w:val="25"/>
              </w:numPr>
              <w:ind w:left="502"/>
            </w:pPr>
            <w:r>
              <w:t>No current contracts with service providers in place</w:t>
            </w:r>
          </w:p>
          <w:p w:rsidR="002F0D4C" w:rsidRDefault="002F0D4C" w:rsidP="00725131">
            <w:pPr>
              <w:pStyle w:val="ListParagraph"/>
              <w:ind w:left="502"/>
            </w:pPr>
          </w:p>
          <w:p w:rsidR="002F0D4C" w:rsidRDefault="002F0D4C" w:rsidP="00725131">
            <w:pPr>
              <w:pStyle w:val="ListParagraph"/>
              <w:ind w:left="502"/>
            </w:pPr>
          </w:p>
          <w:p w:rsidR="002F0D4C" w:rsidRDefault="002F0D4C" w:rsidP="00725131">
            <w:pPr>
              <w:pStyle w:val="ListParagraph"/>
              <w:ind w:left="360"/>
            </w:pPr>
          </w:p>
        </w:tc>
        <w:tc>
          <w:tcPr>
            <w:tcW w:w="1007" w:type="pct"/>
          </w:tcPr>
          <w:p w:rsidR="002F0D4C" w:rsidRDefault="002F0D4C" w:rsidP="002F0D4C">
            <w:pPr>
              <w:pStyle w:val="ListParagraph"/>
              <w:numPr>
                <w:ilvl w:val="0"/>
                <w:numId w:val="25"/>
              </w:numPr>
            </w:pPr>
            <w:r>
              <w:t>Unable to control or effectively monitor service provision</w:t>
            </w:r>
          </w:p>
        </w:tc>
        <w:tc>
          <w:tcPr>
            <w:tcW w:w="513" w:type="pct"/>
          </w:tcPr>
          <w:p w:rsidR="002F0D4C" w:rsidRDefault="002F0D4C" w:rsidP="00725131">
            <w:r>
              <w:t>5</w:t>
            </w:r>
          </w:p>
          <w:p w:rsidR="002F0D4C" w:rsidRDefault="002F0D4C" w:rsidP="00725131"/>
          <w:p w:rsidR="002F0D4C" w:rsidRDefault="002F0D4C" w:rsidP="00725131"/>
          <w:p w:rsidR="002F0D4C" w:rsidRDefault="002F0D4C" w:rsidP="00725131"/>
          <w:p w:rsidR="002F0D4C" w:rsidRDefault="002F0D4C" w:rsidP="00725131"/>
          <w:p w:rsidR="002F0D4C" w:rsidRDefault="002F0D4C" w:rsidP="00725131"/>
          <w:p w:rsidR="002F0D4C" w:rsidRDefault="002F0D4C" w:rsidP="00725131"/>
          <w:p w:rsidR="002F0D4C" w:rsidRDefault="002F0D4C" w:rsidP="00725131"/>
          <w:p w:rsidR="002F0D4C" w:rsidRDefault="002F0D4C" w:rsidP="00725131"/>
        </w:tc>
        <w:tc>
          <w:tcPr>
            <w:tcW w:w="452" w:type="pct"/>
          </w:tcPr>
          <w:p w:rsidR="002F0D4C" w:rsidRDefault="002F0D4C" w:rsidP="00725131">
            <w:r>
              <w:t>5</w:t>
            </w:r>
          </w:p>
          <w:p w:rsidR="002F0D4C" w:rsidRDefault="002F0D4C" w:rsidP="00725131"/>
          <w:p w:rsidR="002F0D4C" w:rsidRDefault="002F0D4C" w:rsidP="00725131"/>
          <w:p w:rsidR="002F0D4C" w:rsidRDefault="002F0D4C" w:rsidP="00725131"/>
          <w:p w:rsidR="002F0D4C" w:rsidRDefault="002F0D4C" w:rsidP="00725131"/>
          <w:p w:rsidR="002F0D4C" w:rsidRDefault="002F0D4C" w:rsidP="00725131"/>
          <w:p w:rsidR="002F0D4C" w:rsidRDefault="002F0D4C" w:rsidP="00725131"/>
          <w:p w:rsidR="002F0D4C" w:rsidRDefault="002F0D4C" w:rsidP="00725131"/>
          <w:p w:rsidR="002F0D4C" w:rsidRDefault="002F0D4C" w:rsidP="00725131"/>
          <w:p w:rsidR="002F0D4C" w:rsidRDefault="002F0D4C" w:rsidP="00725131"/>
        </w:tc>
        <w:tc>
          <w:tcPr>
            <w:tcW w:w="424" w:type="pct"/>
            <w:gridSpan w:val="2"/>
            <w:tcBorders>
              <w:bottom w:val="single" w:sz="4" w:space="0" w:color="auto"/>
            </w:tcBorders>
            <w:shd w:val="clear" w:color="auto" w:fill="FF0000"/>
          </w:tcPr>
          <w:p w:rsidR="002F0D4C" w:rsidRDefault="002F0D4C" w:rsidP="00725131">
            <w:r>
              <w:t>25</w:t>
            </w:r>
          </w:p>
        </w:tc>
        <w:tc>
          <w:tcPr>
            <w:tcW w:w="847" w:type="pct"/>
          </w:tcPr>
          <w:p w:rsidR="002F0D4C" w:rsidRDefault="002F0D4C" w:rsidP="002F0D4C">
            <w:pPr>
              <w:pStyle w:val="ListParagraph"/>
              <w:numPr>
                <w:ilvl w:val="0"/>
                <w:numId w:val="27"/>
              </w:numPr>
            </w:pPr>
            <w:r>
              <w:t>From April 16/17 new contracts will be issued for service providers across Western Bay APB</w:t>
            </w:r>
          </w:p>
        </w:tc>
        <w:tc>
          <w:tcPr>
            <w:tcW w:w="819" w:type="pct"/>
          </w:tcPr>
          <w:p w:rsidR="002F0D4C" w:rsidRDefault="002F0D4C" w:rsidP="00725131">
            <w:pPr>
              <w:pStyle w:val="ListParagraph"/>
              <w:ind w:left="360"/>
            </w:pPr>
            <w:r>
              <w:t>The signed S.33 agreement will facilitate this work.</w:t>
            </w:r>
          </w:p>
        </w:tc>
      </w:tr>
      <w:tr w:rsidR="002F0D4C" w:rsidTr="00725131">
        <w:tc>
          <w:tcPr>
            <w:tcW w:w="938" w:type="pct"/>
          </w:tcPr>
          <w:p w:rsidR="002F0D4C" w:rsidRDefault="002F0D4C" w:rsidP="002F0D4C">
            <w:pPr>
              <w:pStyle w:val="ListParagraph"/>
              <w:numPr>
                <w:ilvl w:val="0"/>
                <w:numId w:val="18"/>
              </w:numPr>
            </w:pPr>
            <w:r>
              <w:t>Contracts are not managed centrally currently</w:t>
            </w:r>
          </w:p>
          <w:p w:rsidR="002F0D4C" w:rsidRDefault="002F0D4C" w:rsidP="00725131">
            <w:pPr>
              <w:pStyle w:val="ListParagraph"/>
              <w:ind w:left="502"/>
            </w:pPr>
          </w:p>
        </w:tc>
        <w:tc>
          <w:tcPr>
            <w:tcW w:w="1007" w:type="pct"/>
          </w:tcPr>
          <w:p w:rsidR="002F0D4C" w:rsidRDefault="002F0D4C" w:rsidP="002F0D4C">
            <w:pPr>
              <w:pStyle w:val="ListParagraph"/>
              <w:numPr>
                <w:ilvl w:val="0"/>
                <w:numId w:val="18"/>
              </w:numPr>
            </w:pPr>
            <w:r>
              <w:t>Disparities between authorities and service providers, leading to a poorer service for clients.</w:t>
            </w:r>
          </w:p>
          <w:p w:rsidR="002F0D4C" w:rsidRDefault="002F0D4C" w:rsidP="00725131">
            <w:pPr>
              <w:pStyle w:val="ListParagraph"/>
              <w:ind w:left="502"/>
            </w:pPr>
          </w:p>
        </w:tc>
        <w:tc>
          <w:tcPr>
            <w:tcW w:w="513" w:type="pct"/>
          </w:tcPr>
          <w:p w:rsidR="002F0D4C" w:rsidRDefault="002F0D4C" w:rsidP="00725131">
            <w:r>
              <w:t>5</w:t>
            </w:r>
          </w:p>
          <w:p w:rsidR="002F0D4C" w:rsidRDefault="002F0D4C" w:rsidP="00725131"/>
        </w:tc>
        <w:tc>
          <w:tcPr>
            <w:tcW w:w="452" w:type="pct"/>
          </w:tcPr>
          <w:p w:rsidR="002F0D4C" w:rsidRDefault="002F0D4C" w:rsidP="00725131">
            <w:r>
              <w:t>5</w:t>
            </w:r>
          </w:p>
          <w:p w:rsidR="002F0D4C" w:rsidRDefault="002F0D4C" w:rsidP="00725131"/>
        </w:tc>
        <w:tc>
          <w:tcPr>
            <w:tcW w:w="424" w:type="pct"/>
            <w:gridSpan w:val="2"/>
            <w:tcBorders>
              <w:bottom w:val="single" w:sz="4" w:space="0" w:color="auto"/>
            </w:tcBorders>
            <w:shd w:val="clear" w:color="auto" w:fill="FF0000"/>
          </w:tcPr>
          <w:p w:rsidR="002F0D4C" w:rsidRDefault="002F0D4C" w:rsidP="00725131">
            <w:r>
              <w:t>25</w:t>
            </w:r>
          </w:p>
          <w:p w:rsidR="002F0D4C" w:rsidRDefault="002F0D4C" w:rsidP="00725131"/>
        </w:tc>
        <w:tc>
          <w:tcPr>
            <w:tcW w:w="847" w:type="pct"/>
          </w:tcPr>
          <w:p w:rsidR="002F0D4C" w:rsidRDefault="002F0D4C" w:rsidP="002F0D4C">
            <w:pPr>
              <w:pStyle w:val="ListParagraph"/>
              <w:numPr>
                <w:ilvl w:val="0"/>
                <w:numId w:val="20"/>
              </w:numPr>
            </w:pPr>
            <w:r>
              <w:t>From April 16 contracts will issued and managed by NPTCBC as lead for the APB</w:t>
            </w:r>
          </w:p>
        </w:tc>
        <w:tc>
          <w:tcPr>
            <w:tcW w:w="819" w:type="pct"/>
          </w:tcPr>
          <w:p w:rsidR="002F0D4C" w:rsidRDefault="002F0D4C" w:rsidP="00725131">
            <w:pPr>
              <w:ind w:left="360"/>
            </w:pPr>
            <w:r>
              <w:t>The signed S.33 agreement will facilitate this.</w:t>
            </w:r>
          </w:p>
        </w:tc>
      </w:tr>
      <w:tr w:rsidR="002F0D4C" w:rsidTr="00725131">
        <w:tc>
          <w:tcPr>
            <w:tcW w:w="938" w:type="pct"/>
          </w:tcPr>
          <w:p w:rsidR="002F0D4C" w:rsidRDefault="002F0D4C" w:rsidP="002F0D4C">
            <w:pPr>
              <w:pStyle w:val="ListParagraph"/>
              <w:numPr>
                <w:ilvl w:val="0"/>
                <w:numId w:val="18"/>
              </w:numPr>
            </w:pPr>
            <w:r>
              <w:t>Shared Care (Swansea)</w:t>
            </w:r>
          </w:p>
          <w:p w:rsidR="002F0D4C" w:rsidRDefault="002F0D4C" w:rsidP="00725131">
            <w:pPr>
              <w:pStyle w:val="ListParagraph"/>
              <w:ind w:left="502"/>
            </w:pPr>
          </w:p>
        </w:tc>
        <w:tc>
          <w:tcPr>
            <w:tcW w:w="1007" w:type="pct"/>
          </w:tcPr>
          <w:p w:rsidR="002F0D4C" w:rsidRDefault="002F0D4C" w:rsidP="002F0D4C">
            <w:pPr>
              <w:pStyle w:val="ListParagraph"/>
              <w:numPr>
                <w:ilvl w:val="0"/>
                <w:numId w:val="18"/>
              </w:numPr>
            </w:pPr>
            <w:r>
              <w:t>Clients are unable to access prescribing services</w:t>
            </w:r>
          </w:p>
          <w:p w:rsidR="002F0D4C" w:rsidRDefault="002F0D4C" w:rsidP="00725131">
            <w:pPr>
              <w:pStyle w:val="ListParagraph"/>
              <w:ind w:left="502"/>
            </w:pPr>
          </w:p>
        </w:tc>
        <w:tc>
          <w:tcPr>
            <w:tcW w:w="513" w:type="pct"/>
          </w:tcPr>
          <w:p w:rsidR="002F0D4C" w:rsidRDefault="002F0D4C" w:rsidP="00725131">
            <w:r>
              <w:t>5</w:t>
            </w:r>
          </w:p>
        </w:tc>
        <w:tc>
          <w:tcPr>
            <w:tcW w:w="452" w:type="pct"/>
          </w:tcPr>
          <w:p w:rsidR="002F0D4C" w:rsidRDefault="002F0D4C" w:rsidP="00725131">
            <w:r>
              <w:t>5</w:t>
            </w:r>
          </w:p>
        </w:tc>
        <w:tc>
          <w:tcPr>
            <w:tcW w:w="424" w:type="pct"/>
            <w:gridSpan w:val="2"/>
            <w:tcBorders>
              <w:bottom w:val="single" w:sz="4" w:space="0" w:color="auto"/>
            </w:tcBorders>
            <w:shd w:val="clear" w:color="auto" w:fill="E36C0A" w:themeFill="accent6" w:themeFillShade="BF"/>
          </w:tcPr>
          <w:p w:rsidR="002F0D4C" w:rsidRDefault="002F0D4C" w:rsidP="00725131">
            <w:r>
              <w:t>25</w:t>
            </w:r>
          </w:p>
        </w:tc>
        <w:tc>
          <w:tcPr>
            <w:tcW w:w="847" w:type="pct"/>
          </w:tcPr>
          <w:p w:rsidR="002F0D4C" w:rsidRDefault="002F0D4C" w:rsidP="002F0D4C">
            <w:pPr>
              <w:pStyle w:val="ListParagraph"/>
              <w:numPr>
                <w:ilvl w:val="0"/>
                <w:numId w:val="20"/>
              </w:numPr>
            </w:pPr>
            <w:r>
              <w:t>Action plan will be formulated by ABMU that addresses this issue and also a longer term solution will be developed</w:t>
            </w:r>
          </w:p>
        </w:tc>
        <w:tc>
          <w:tcPr>
            <w:tcW w:w="819" w:type="pct"/>
          </w:tcPr>
          <w:p w:rsidR="002F0D4C" w:rsidRDefault="002F0D4C" w:rsidP="00725131">
            <w:pPr>
              <w:pStyle w:val="ListParagraph"/>
            </w:pPr>
            <w:r>
              <w:t>Regional Team are undertaking a review with a deadline of end June 2016.</w:t>
            </w:r>
          </w:p>
        </w:tc>
      </w:tr>
      <w:tr w:rsidR="002F0D4C" w:rsidTr="00725131">
        <w:tc>
          <w:tcPr>
            <w:tcW w:w="938" w:type="pct"/>
          </w:tcPr>
          <w:p w:rsidR="002F0D4C" w:rsidRDefault="002F0D4C" w:rsidP="002F0D4C">
            <w:pPr>
              <w:pStyle w:val="ListParagraph"/>
              <w:numPr>
                <w:ilvl w:val="0"/>
                <w:numId w:val="18"/>
              </w:numPr>
            </w:pPr>
            <w:r>
              <w:t>Merger between Sands Cymru and Drug Aid (Jan 16)</w:t>
            </w:r>
          </w:p>
          <w:p w:rsidR="002F0D4C" w:rsidRDefault="002F0D4C" w:rsidP="00725131">
            <w:pPr>
              <w:pStyle w:val="ListParagraph"/>
              <w:ind w:left="502"/>
            </w:pPr>
          </w:p>
        </w:tc>
        <w:tc>
          <w:tcPr>
            <w:tcW w:w="1007" w:type="pct"/>
          </w:tcPr>
          <w:p w:rsidR="002F0D4C" w:rsidRDefault="002F0D4C" w:rsidP="002F0D4C">
            <w:pPr>
              <w:pStyle w:val="ListParagraph"/>
              <w:numPr>
                <w:ilvl w:val="0"/>
                <w:numId w:val="18"/>
              </w:numPr>
            </w:pPr>
            <w:r>
              <w:t>Changes occur in the delivery or availability of current services delivered by Sands Cymru</w:t>
            </w:r>
          </w:p>
          <w:p w:rsidR="002F0D4C" w:rsidRDefault="002F0D4C" w:rsidP="00725131">
            <w:pPr>
              <w:pStyle w:val="ListParagraph"/>
              <w:ind w:left="502"/>
            </w:pPr>
          </w:p>
        </w:tc>
        <w:tc>
          <w:tcPr>
            <w:tcW w:w="513" w:type="pct"/>
          </w:tcPr>
          <w:p w:rsidR="002F0D4C" w:rsidRDefault="002F0D4C" w:rsidP="00725131">
            <w:r>
              <w:t>0</w:t>
            </w:r>
          </w:p>
        </w:tc>
        <w:tc>
          <w:tcPr>
            <w:tcW w:w="452" w:type="pct"/>
          </w:tcPr>
          <w:p w:rsidR="002F0D4C" w:rsidRDefault="002F0D4C" w:rsidP="00725131">
            <w:r>
              <w:t>0</w:t>
            </w:r>
          </w:p>
        </w:tc>
        <w:tc>
          <w:tcPr>
            <w:tcW w:w="424" w:type="pct"/>
            <w:gridSpan w:val="2"/>
            <w:tcBorders>
              <w:bottom w:val="single" w:sz="4" w:space="0" w:color="auto"/>
            </w:tcBorders>
            <w:shd w:val="clear" w:color="auto" w:fill="92D050"/>
          </w:tcPr>
          <w:p w:rsidR="002F0D4C" w:rsidRDefault="002F0D4C" w:rsidP="00725131">
            <w:r>
              <w:t>10</w:t>
            </w:r>
          </w:p>
        </w:tc>
        <w:tc>
          <w:tcPr>
            <w:tcW w:w="847" w:type="pct"/>
          </w:tcPr>
          <w:p w:rsidR="002F0D4C" w:rsidRDefault="002F0D4C" w:rsidP="002F0D4C">
            <w:pPr>
              <w:pStyle w:val="ListParagraph"/>
              <w:numPr>
                <w:ilvl w:val="0"/>
                <w:numId w:val="20"/>
              </w:numPr>
            </w:pPr>
            <w:r>
              <w:t>Discussion will take place with Drug Aid to ensure that services are not affected</w:t>
            </w:r>
          </w:p>
        </w:tc>
        <w:tc>
          <w:tcPr>
            <w:tcW w:w="819" w:type="pct"/>
          </w:tcPr>
          <w:p w:rsidR="002F0D4C" w:rsidRDefault="002F0D4C" w:rsidP="00725131">
            <w:pPr>
              <w:pStyle w:val="ListParagraph"/>
            </w:pPr>
            <w:r>
              <w:t>Service provision has not been affected.</w:t>
            </w:r>
          </w:p>
        </w:tc>
      </w:tr>
      <w:tr w:rsidR="002F0D4C" w:rsidTr="00725131">
        <w:tc>
          <w:tcPr>
            <w:tcW w:w="938" w:type="pct"/>
          </w:tcPr>
          <w:p w:rsidR="002F0D4C" w:rsidRDefault="002F0D4C" w:rsidP="002F0D4C">
            <w:pPr>
              <w:pStyle w:val="ListParagraph"/>
              <w:numPr>
                <w:ilvl w:val="0"/>
                <w:numId w:val="20"/>
              </w:numPr>
            </w:pPr>
            <w:r>
              <w:t>Waiting List Times (Swansea)</w:t>
            </w:r>
          </w:p>
        </w:tc>
        <w:tc>
          <w:tcPr>
            <w:tcW w:w="1007" w:type="pct"/>
          </w:tcPr>
          <w:p w:rsidR="002F0D4C" w:rsidRDefault="002F0D4C" w:rsidP="002F0D4C">
            <w:pPr>
              <w:pStyle w:val="ListParagraph"/>
              <w:numPr>
                <w:ilvl w:val="0"/>
                <w:numId w:val="20"/>
              </w:numPr>
            </w:pPr>
            <w:r>
              <w:t>Lack of readily available access to prescribing services.</w:t>
            </w:r>
          </w:p>
        </w:tc>
        <w:tc>
          <w:tcPr>
            <w:tcW w:w="513" w:type="pct"/>
          </w:tcPr>
          <w:p w:rsidR="002F0D4C" w:rsidRDefault="002F0D4C" w:rsidP="00725131">
            <w:r>
              <w:t>5</w:t>
            </w:r>
          </w:p>
        </w:tc>
        <w:tc>
          <w:tcPr>
            <w:tcW w:w="452" w:type="pct"/>
          </w:tcPr>
          <w:p w:rsidR="002F0D4C" w:rsidRDefault="002F0D4C" w:rsidP="00725131">
            <w:r>
              <w:t>5</w:t>
            </w:r>
          </w:p>
        </w:tc>
        <w:tc>
          <w:tcPr>
            <w:tcW w:w="424" w:type="pct"/>
            <w:gridSpan w:val="2"/>
            <w:shd w:val="clear" w:color="auto" w:fill="E36C0A" w:themeFill="accent6" w:themeFillShade="BF"/>
          </w:tcPr>
          <w:p w:rsidR="002F0D4C" w:rsidRDefault="002F0D4C" w:rsidP="00725131">
            <w:r>
              <w:t>25</w:t>
            </w:r>
          </w:p>
        </w:tc>
        <w:tc>
          <w:tcPr>
            <w:tcW w:w="847" w:type="pct"/>
          </w:tcPr>
          <w:p w:rsidR="002F0D4C" w:rsidRDefault="002F0D4C" w:rsidP="002F0D4C">
            <w:pPr>
              <w:pStyle w:val="ListParagraph"/>
              <w:numPr>
                <w:ilvl w:val="0"/>
                <w:numId w:val="26"/>
              </w:numPr>
            </w:pPr>
            <w:r>
              <w:t>Provision is being adjusted to counter this and commissioning will need to ensure that parity of provision across the APB in future exists.</w:t>
            </w:r>
          </w:p>
        </w:tc>
        <w:tc>
          <w:tcPr>
            <w:tcW w:w="819" w:type="pct"/>
          </w:tcPr>
          <w:p w:rsidR="002F0D4C" w:rsidRDefault="002F0D4C" w:rsidP="00725131">
            <w:pPr>
              <w:pStyle w:val="ListParagraph"/>
            </w:pPr>
            <w:r>
              <w:t>Waiting times have fallen in Swansea to around 8 weeks. A review report is being drafted by the Regional Team currently.</w:t>
            </w:r>
          </w:p>
          <w:p w:rsidR="002F0D4C" w:rsidRDefault="002F0D4C" w:rsidP="00725131">
            <w:pPr>
              <w:pStyle w:val="ListParagraph"/>
            </w:pPr>
          </w:p>
          <w:p w:rsidR="002F0D4C" w:rsidRDefault="002F0D4C" w:rsidP="00725131">
            <w:pPr>
              <w:pStyle w:val="ListParagraph"/>
            </w:pPr>
          </w:p>
          <w:p w:rsidR="002F0D4C" w:rsidRDefault="002F0D4C" w:rsidP="00725131">
            <w:pPr>
              <w:pStyle w:val="ListParagraph"/>
            </w:pPr>
          </w:p>
          <w:p w:rsidR="002F0D4C" w:rsidRDefault="002F0D4C" w:rsidP="00725131">
            <w:pPr>
              <w:pStyle w:val="ListParagraph"/>
            </w:pPr>
          </w:p>
        </w:tc>
      </w:tr>
      <w:tr w:rsidR="002F0D4C" w:rsidTr="00725131">
        <w:tc>
          <w:tcPr>
            <w:tcW w:w="4181" w:type="pct"/>
            <w:gridSpan w:val="7"/>
            <w:shd w:val="pct15" w:color="auto" w:fill="auto"/>
          </w:tcPr>
          <w:p w:rsidR="002F0D4C" w:rsidRPr="007F043F" w:rsidRDefault="002F0D4C" w:rsidP="002F0D4C">
            <w:pPr>
              <w:pStyle w:val="ListParagraph"/>
              <w:numPr>
                <w:ilvl w:val="0"/>
                <w:numId w:val="24"/>
              </w:numPr>
              <w:rPr>
                <w:b/>
              </w:rPr>
            </w:pPr>
            <w:r w:rsidRPr="007F043F">
              <w:rPr>
                <w:b/>
              </w:rPr>
              <w:t>Capital Assets</w:t>
            </w:r>
          </w:p>
        </w:tc>
        <w:tc>
          <w:tcPr>
            <w:tcW w:w="819" w:type="pct"/>
            <w:shd w:val="pct15" w:color="auto" w:fill="auto"/>
          </w:tcPr>
          <w:p w:rsidR="002F0D4C" w:rsidRPr="007F043F" w:rsidRDefault="002F0D4C" w:rsidP="00725131">
            <w:pPr>
              <w:pStyle w:val="ListParagraph"/>
              <w:rPr>
                <w:b/>
              </w:rPr>
            </w:pPr>
          </w:p>
        </w:tc>
      </w:tr>
      <w:tr w:rsidR="002F0D4C" w:rsidTr="00725131">
        <w:tc>
          <w:tcPr>
            <w:tcW w:w="938" w:type="pct"/>
          </w:tcPr>
          <w:p w:rsidR="002F0D4C" w:rsidRDefault="002F0D4C" w:rsidP="002F0D4C">
            <w:pPr>
              <w:pStyle w:val="ListParagraph"/>
              <w:numPr>
                <w:ilvl w:val="0"/>
                <w:numId w:val="21"/>
              </w:numPr>
            </w:pPr>
            <w:r>
              <w:t>Retention of assets that have SMAF funding attached to them for substance misuse purposes to retain that purpose going forward.</w:t>
            </w:r>
          </w:p>
        </w:tc>
        <w:tc>
          <w:tcPr>
            <w:tcW w:w="1007" w:type="pct"/>
          </w:tcPr>
          <w:p w:rsidR="002F0D4C" w:rsidRDefault="002F0D4C" w:rsidP="002F0D4C">
            <w:pPr>
              <w:pStyle w:val="ListParagraph"/>
              <w:numPr>
                <w:ilvl w:val="0"/>
                <w:numId w:val="21"/>
              </w:numPr>
            </w:pPr>
            <w:r>
              <w:t>Previous SMAF capital investment in Western Bay could be lost</w:t>
            </w:r>
          </w:p>
          <w:p w:rsidR="002F0D4C" w:rsidRDefault="002F0D4C" w:rsidP="002F0D4C">
            <w:pPr>
              <w:pStyle w:val="ListParagraph"/>
              <w:numPr>
                <w:ilvl w:val="0"/>
                <w:numId w:val="21"/>
              </w:numPr>
            </w:pPr>
            <w:r>
              <w:t>Claw backs could be made against bankers.</w:t>
            </w:r>
          </w:p>
        </w:tc>
        <w:tc>
          <w:tcPr>
            <w:tcW w:w="513" w:type="pct"/>
          </w:tcPr>
          <w:p w:rsidR="002F0D4C" w:rsidRDefault="002F0D4C" w:rsidP="00725131">
            <w:r>
              <w:t>2</w:t>
            </w:r>
          </w:p>
        </w:tc>
        <w:tc>
          <w:tcPr>
            <w:tcW w:w="452" w:type="pct"/>
          </w:tcPr>
          <w:p w:rsidR="002F0D4C" w:rsidRDefault="002F0D4C" w:rsidP="00725131">
            <w:r>
              <w:t>5</w:t>
            </w:r>
          </w:p>
        </w:tc>
        <w:tc>
          <w:tcPr>
            <w:tcW w:w="424" w:type="pct"/>
            <w:gridSpan w:val="2"/>
            <w:shd w:val="clear" w:color="auto" w:fill="E36C0A" w:themeFill="accent6" w:themeFillShade="BF"/>
          </w:tcPr>
          <w:p w:rsidR="002F0D4C" w:rsidRDefault="002F0D4C" w:rsidP="00725131">
            <w:r>
              <w:t>10</w:t>
            </w:r>
          </w:p>
        </w:tc>
        <w:tc>
          <w:tcPr>
            <w:tcW w:w="847" w:type="pct"/>
          </w:tcPr>
          <w:p w:rsidR="002F0D4C" w:rsidRDefault="002F0D4C" w:rsidP="002F0D4C">
            <w:pPr>
              <w:pStyle w:val="ListParagraph"/>
              <w:numPr>
                <w:ilvl w:val="0"/>
                <w:numId w:val="22"/>
              </w:numPr>
            </w:pPr>
            <w:r>
              <w:t>Contract commissioning agreements will seek to prevent this happening.</w:t>
            </w:r>
          </w:p>
        </w:tc>
        <w:tc>
          <w:tcPr>
            <w:tcW w:w="819" w:type="pct"/>
          </w:tcPr>
          <w:p w:rsidR="002F0D4C" w:rsidRDefault="002F0D4C" w:rsidP="00725131">
            <w:pPr>
              <w:pStyle w:val="ListParagraph"/>
            </w:pPr>
            <w:r>
              <w:t>Issues still remain – Regional Team are seeking to resolve.</w:t>
            </w:r>
          </w:p>
        </w:tc>
      </w:tr>
      <w:tr w:rsidR="002F0D4C" w:rsidTr="00725131">
        <w:tc>
          <w:tcPr>
            <w:tcW w:w="4181" w:type="pct"/>
            <w:gridSpan w:val="7"/>
            <w:shd w:val="pct15" w:color="auto" w:fill="auto"/>
          </w:tcPr>
          <w:p w:rsidR="002F0D4C" w:rsidRPr="0017285A" w:rsidRDefault="002F0D4C" w:rsidP="002F0D4C">
            <w:pPr>
              <w:pStyle w:val="ListParagraph"/>
              <w:numPr>
                <w:ilvl w:val="0"/>
                <w:numId w:val="24"/>
              </w:numPr>
              <w:rPr>
                <w:b/>
                <w:highlight w:val="lightGray"/>
              </w:rPr>
            </w:pPr>
            <w:r w:rsidRPr="0017285A">
              <w:rPr>
                <w:b/>
              </w:rPr>
              <w:t>Criminal Justice Re-commissioning</w:t>
            </w:r>
          </w:p>
        </w:tc>
        <w:tc>
          <w:tcPr>
            <w:tcW w:w="819" w:type="pct"/>
            <w:shd w:val="pct15" w:color="auto" w:fill="auto"/>
          </w:tcPr>
          <w:p w:rsidR="002F0D4C" w:rsidRPr="0017285A" w:rsidRDefault="002F0D4C" w:rsidP="00725131">
            <w:pPr>
              <w:pStyle w:val="ListParagraph"/>
              <w:rPr>
                <w:b/>
              </w:rPr>
            </w:pPr>
          </w:p>
        </w:tc>
      </w:tr>
      <w:tr w:rsidR="002F0D4C" w:rsidTr="00725131">
        <w:tc>
          <w:tcPr>
            <w:tcW w:w="938" w:type="pct"/>
          </w:tcPr>
          <w:p w:rsidR="002F0D4C" w:rsidRDefault="002F0D4C" w:rsidP="002F0D4C">
            <w:pPr>
              <w:pStyle w:val="ListParagraph"/>
              <w:numPr>
                <w:ilvl w:val="0"/>
                <w:numId w:val="22"/>
              </w:numPr>
            </w:pPr>
            <w:r>
              <w:t>Change in Service Provider due to potential loss of contract</w:t>
            </w:r>
          </w:p>
          <w:p w:rsidR="002F0D4C" w:rsidRDefault="002F0D4C" w:rsidP="00725131">
            <w:pPr>
              <w:pStyle w:val="ListParagraph"/>
              <w:ind w:left="502"/>
            </w:pPr>
          </w:p>
        </w:tc>
        <w:tc>
          <w:tcPr>
            <w:tcW w:w="1007" w:type="pct"/>
          </w:tcPr>
          <w:p w:rsidR="002F0D4C" w:rsidRDefault="002F0D4C" w:rsidP="002F0D4C">
            <w:pPr>
              <w:pStyle w:val="ListParagraph"/>
              <w:numPr>
                <w:ilvl w:val="0"/>
                <w:numId w:val="22"/>
              </w:numPr>
            </w:pPr>
            <w:r>
              <w:t>Possible changes to service provision and APB Group membership</w:t>
            </w:r>
          </w:p>
        </w:tc>
        <w:tc>
          <w:tcPr>
            <w:tcW w:w="513" w:type="pct"/>
          </w:tcPr>
          <w:p w:rsidR="002F0D4C" w:rsidRDefault="002F0D4C" w:rsidP="00725131">
            <w:r>
              <w:t>4</w:t>
            </w:r>
          </w:p>
        </w:tc>
        <w:tc>
          <w:tcPr>
            <w:tcW w:w="452" w:type="pct"/>
          </w:tcPr>
          <w:p w:rsidR="002F0D4C" w:rsidRDefault="002F0D4C" w:rsidP="00725131">
            <w:r>
              <w:t>2</w:t>
            </w:r>
          </w:p>
        </w:tc>
        <w:tc>
          <w:tcPr>
            <w:tcW w:w="424" w:type="pct"/>
            <w:gridSpan w:val="2"/>
            <w:shd w:val="clear" w:color="auto" w:fill="92D050"/>
          </w:tcPr>
          <w:p w:rsidR="002F0D4C" w:rsidRDefault="002F0D4C" w:rsidP="00725131">
            <w:r>
              <w:t>8</w:t>
            </w:r>
          </w:p>
        </w:tc>
        <w:tc>
          <w:tcPr>
            <w:tcW w:w="847" w:type="pct"/>
          </w:tcPr>
          <w:p w:rsidR="002F0D4C" w:rsidRDefault="002F0D4C" w:rsidP="002F0D4C">
            <w:pPr>
              <w:pStyle w:val="ListParagraph"/>
              <w:numPr>
                <w:ilvl w:val="0"/>
                <w:numId w:val="23"/>
              </w:numPr>
            </w:pPr>
            <w:r>
              <w:t>Maintain communication with any new providers to establish new links and that service provision continues in an unaltered way as possible</w:t>
            </w:r>
          </w:p>
        </w:tc>
        <w:tc>
          <w:tcPr>
            <w:tcW w:w="819" w:type="pct"/>
          </w:tcPr>
          <w:p w:rsidR="002F0D4C" w:rsidRDefault="002F0D4C" w:rsidP="00725131">
            <w:pPr>
              <w:pStyle w:val="ListParagraph"/>
              <w:ind w:left="360"/>
            </w:pPr>
            <w:r>
              <w:t xml:space="preserve">Position appears settled </w:t>
            </w:r>
          </w:p>
        </w:tc>
      </w:tr>
    </w:tbl>
    <w:p w:rsidR="00754392" w:rsidRDefault="00754392" w:rsidP="00573BCB">
      <w:pPr>
        <w:pStyle w:val="ListParagraph"/>
        <w:ind w:left="360"/>
      </w:pPr>
    </w:p>
    <w:p w:rsidR="002F0D4C" w:rsidRPr="002F0D4C" w:rsidRDefault="002F0D4C" w:rsidP="00573BCB">
      <w:pPr>
        <w:pStyle w:val="ListParagraph"/>
        <w:ind w:left="360"/>
        <w:rPr>
          <w:b/>
        </w:rPr>
      </w:pPr>
    </w:p>
    <w:p w:rsidR="00725131" w:rsidRDefault="00725131" w:rsidP="002F0D4C">
      <w:pPr>
        <w:pStyle w:val="ListParagraph"/>
        <w:ind w:left="360"/>
        <w:rPr>
          <w:b/>
        </w:rPr>
      </w:pPr>
    </w:p>
    <w:p w:rsidR="00725131" w:rsidRDefault="00725131" w:rsidP="002F0D4C">
      <w:pPr>
        <w:pStyle w:val="ListParagraph"/>
        <w:ind w:left="360"/>
        <w:rPr>
          <w:b/>
        </w:rPr>
      </w:pPr>
    </w:p>
    <w:p w:rsidR="00725131" w:rsidRDefault="00725131" w:rsidP="002F0D4C">
      <w:pPr>
        <w:pStyle w:val="ListParagraph"/>
        <w:ind w:left="360"/>
        <w:rPr>
          <w:b/>
        </w:rPr>
      </w:pPr>
    </w:p>
    <w:p w:rsidR="00725131" w:rsidRDefault="00725131" w:rsidP="002F0D4C">
      <w:pPr>
        <w:pStyle w:val="ListParagraph"/>
        <w:ind w:left="360"/>
        <w:rPr>
          <w:b/>
        </w:rPr>
      </w:pPr>
    </w:p>
    <w:p w:rsidR="00725131" w:rsidRDefault="00725131" w:rsidP="002F0D4C">
      <w:pPr>
        <w:pStyle w:val="ListParagraph"/>
        <w:ind w:left="360"/>
        <w:rPr>
          <w:b/>
        </w:rPr>
      </w:pPr>
    </w:p>
    <w:p w:rsidR="00725131" w:rsidRDefault="00725131" w:rsidP="002F0D4C">
      <w:pPr>
        <w:pStyle w:val="ListParagraph"/>
        <w:ind w:left="360"/>
        <w:rPr>
          <w:b/>
        </w:rPr>
      </w:pPr>
    </w:p>
    <w:p w:rsidR="00725131" w:rsidRDefault="00725131" w:rsidP="002F0D4C">
      <w:pPr>
        <w:pStyle w:val="ListParagraph"/>
        <w:ind w:left="360"/>
        <w:rPr>
          <w:b/>
        </w:rPr>
      </w:pPr>
    </w:p>
    <w:p w:rsidR="00725131" w:rsidRDefault="00725131" w:rsidP="002F0D4C">
      <w:pPr>
        <w:pStyle w:val="ListParagraph"/>
        <w:ind w:left="360"/>
        <w:rPr>
          <w:b/>
        </w:rPr>
      </w:pPr>
    </w:p>
    <w:p w:rsidR="00725131" w:rsidRDefault="00725131" w:rsidP="002F0D4C">
      <w:pPr>
        <w:pStyle w:val="ListParagraph"/>
        <w:ind w:left="360"/>
        <w:rPr>
          <w:b/>
        </w:rPr>
        <w:sectPr w:rsidR="00725131" w:rsidSect="00C0451E">
          <w:pgSz w:w="16838" w:h="11906" w:orient="landscape"/>
          <w:pgMar w:top="1440" w:right="1440" w:bottom="1440" w:left="1440" w:header="709" w:footer="709" w:gutter="0"/>
          <w:cols w:space="708"/>
          <w:docGrid w:linePitch="360"/>
        </w:sectPr>
      </w:pPr>
    </w:p>
    <w:p w:rsidR="002F0D4C" w:rsidRDefault="00725131" w:rsidP="002F0D4C">
      <w:pPr>
        <w:pStyle w:val="ListParagraph"/>
        <w:ind w:left="360"/>
        <w:rPr>
          <w:b/>
        </w:rPr>
      </w:pPr>
      <w:r>
        <w:rPr>
          <w:b/>
        </w:rPr>
        <w:t>5.</w:t>
      </w:r>
      <w:r>
        <w:rPr>
          <w:b/>
        </w:rPr>
        <w:tab/>
      </w:r>
      <w:r w:rsidR="002F0D4C" w:rsidRPr="002F0D4C">
        <w:rPr>
          <w:b/>
        </w:rPr>
        <w:t>Update on status of specific actions carried out by task and finish groups</w:t>
      </w:r>
    </w:p>
    <w:p w:rsidR="00725131" w:rsidRPr="00725131" w:rsidRDefault="00725131" w:rsidP="002F0D4C">
      <w:pPr>
        <w:pStyle w:val="ListParagraph"/>
        <w:ind w:left="360"/>
        <w:rPr>
          <w:b/>
          <w:u w:val="single"/>
        </w:rPr>
      </w:pPr>
    </w:p>
    <w:p w:rsidR="00725131" w:rsidRDefault="00725131" w:rsidP="002F0D4C">
      <w:pPr>
        <w:pStyle w:val="ListParagraph"/>
        <w:ind w:left="360"/>
        <w:rPr>
          <w:u w:val="single"/>
        </w:rPr>
      </w:pPr>
      <w:r w:rsidRPr="00725131">
        <w:rPr>
          <w:u w:val="single"/>
        </w:rPr>
        <w:t>Dual Diagnosis Implementation Group</w:t>
      </w:r>
      <w:r>
        <w:rPr>
          <w:u w:val="single"/>
        </w:rPr>
        <w:t xml:space="preserve"> (DDIG)</w:t>
      </w:r>
    </w:p>
    <w:p w:rsidR="00725131" w:rsidRDefault="00725131" w:rsidP="002F0D4C">
      <w:pPr>
        <w:pStyle w:val="ListParagraph"/>
        <w:ind w:left="360"/>
        <w:rPr>
          <w:u w:val="single"/>
        </w:rPr>
      </w:pPr>
    </w:p>
    <w:p w:rsidR="00725131" w:rsidRDefault="00725131" w:rsidP="00725131">
      <w:pPr>
        <w:pStyle w:val="ListParagraph"/>
        <w:ind w:left="360"/>
      </w:pPr>
      <w:r>
        <w:t>During quarter 1 the DDIG was assembled in response to correspondence received from Welsh Government asking the APB and the Local Mental Health Partnership Board to</w:t>
      </w:r>
      <w:r w:rsidR="00E5183B">
        <w:t xml:space="preserve"> create</w:t>
      </w:r>
      <w:r>
        <w:t xml:space="preserve"> a dual diagnosis delivery plan and provide them with information on:</w:t>
      </w:r>
    </w:p>
    <w:p w:rsidR="00725131" w:rsidRDefault="00725131" w:rsidP="00725131">
      <w:pPr>
        <w:pStyle w:val="ListParagraph"/>
      </w:pPr>
      <w:r>
        <w:t>i – Identification of APB and LPMHB (ABMU) board members to act as leads</w:t>
      </w:r>
    </w:p>
    <w:p w:rsidR="00725131" w:rsidRDefault="00725131" w:rsidP="00725131">
      <w:pPr>
        <w:pStyle w:val="ListParagraph"/>
      </w:pPr>
      <w:r>
        <w:t>ii – Development of the delivery plan by June ’16 (and assess progress against delivery)</w:t>
      </w:r>
    </w:p>
    <w:p w:rsidR="00725131" w:rsidRDefault="00725131" w:rsidP="00725131">
      <w:pPr>
        <w:pStyle w:val="ListParagraph"/>
      </w:pPr>
      <w:r>
        <w:t>iii – Development of the jointly agreed care pathway</w:t>
      </w:r>
    </w:p>
    <w:p w:rsidR="00725131" w:rsidRPr="00725131" w:rsidRDefault="00725131" w:rsidP="00725131">
      <w:pPr>
        <w:pStyle w:val="ListParagraph"/>
      </w:pPr>
      <w:r>
        <w:t>iv – Audit of dual diagnosis training and development of a training plan.</w:t>
      </w:r>
    </w:p>
    <w:p w:rsidR="00725131" w:rsidRDefault="00725131" w:rsidP="002F0D4C">
      <w:pPr>
        <w:pStyle w:val="ListParagraph"/>
        <w:ind w:left="360"/>
        <w:rPr>
          <w:b/>
          <w:u w:val="single"/>
        </w:rPr>
      </w:pPr>
    </w:p>
    <w:p w:rsidR="00725131" w:rsidRDefault="00725131" w:rsidP="002F0D4C">
      <w:pPr>
        <w:pStyle w:val="ListParagraph"/>
        <w:ind w:left="360"/>
      </w:pPr>
      <w:r w:rsidRPr="00E5183B">
        <w:t>The DDIG is chaired by Dr Clementine Maddock</w:t>
      </w:r>
      <w:r w:rsidR="00E5183B">
        <w:t xml:space="preserve"> and has met twice.  A joint delivery plan has </w:t>
      </w:r>
      <w:r w:rsidR="009F60FE">
        <w:t>been created</w:t>
      </w:r>
      <w:r w:rsidR="00E5183B">
        <w:t xml:space="preserve">, consulted on and sent to WG.  </w:t>
      </w:r>
      <w:r w:rsidR="009F60FE">
        <w:t>A full update on this work is provided under a separate item of this Quarter’s APB meeting.</w:t>
      </w:r>
    </w:p>
    <w:p w:rsidR="009F60FE" w:rsidRDefault="009F60FE" w:rsidP="002F0D4C">
      <w:pPr>
        <w:pStyle w:val="ListParagraph"/>
        <w:ind w:left="360"/>
      </w:pPr>
    </w:p>
    <w:p w:rsidR="009F60FE" w:rsidRPr="009F60FE" w:rsidRDefault="009F60FE" w:rsidP="002F0D4C">
      <w:pPr>
        <w:pStyle w:val="ListParagraph"/>
        <w:ind w:left="360"/>
        <w:rPr>
          <w:u w:val="single"/>
        </w:rPr>
      </w:pPr>
      <w:r w:rsidRPr="009F60FE">
        <w:rPr>
          <w:u w:val="single"/>
        </w:rPr>
        <w:t>Tier 4 Residential Rehab Task and Finish Group</w:t>
      </w:r>
    </w:p>
    <w:p w:rsidR="009F60FE" w:rsidRDefault="009F60FE" w:rsidP="002F0D4C">
      <w:pPr>
        <w:pStyle w:val="ListParagraph"/>
        <w:ind w:left="360"/>
      </w:pPr>
    </w:p>
    <w:p w:rsidR="009F60FE" w:rsidRDefault="009F60FE" w:rsidP="002F0D4C">
      <w:pPr>
        <w:pStyle w:val="ListParagraph"/>
        <w:ind w:left="360"/>
      </w:pPr>
      <w:r>
        <w:t xml:space="preserve">This Group met at the end of 2015 and had now been disbanded as the monitoring of work around Tier 4 is being led by the Adult Treatment Sub Group.  </w:t>
      </w:r>
    </w:p>
    <w:p w:rsidR="00375491" w:rsidRDefault="00375491" w:rsidP="002F0D4C">
      <w:pPr>
        <w:pStyle w:val="ListParagraph"/>
        <w:ind w:left="360"/>
      </w:pPr>
    </w:p>
    <w:p w:rsidR="00375491" w:rsidRDefault="00375491" w:rsidP="002F0D4C">
      <w:pPr>
        <w:pStyle w:val="ListParagraph"/>
        <w:ind w:left="360"/>
      </w:pPr>
    </w:p>
    <w:p w:rsidR="00375491" w:rsidRDefault="00375491" w:rsidP="002F0D4C">
      <w:pPr>
        <w:pStyle w:val="ListParagraph"/>
        <w:ind w:left="360"/>
      </w:pPr>
    </w:p>
    <w:p w:rsidR="00375491" w:rsidRDefault="00375491" w:rsidP="002F0D4C">
      <w:pPr>
        <w:pStyle w:val="ListParagraph"/>
        <w:ind w:left="360"/>
      </w:pPr>
    </w:p>
    <w:p w:rsidR="00375491" w:rsidRDefault="00375491" w:rsidP="002F0D4C">
      <w:pPr>
        <w:pStyle w:val="ListParagraph"/>
        <w:ind w:left="360"/>
      </w:pPr>
    </w:p>
    <w:p w:rsidR="00375491" w:rsidRDefault="00375491" w:rsidP="002F0D4C">
      <w:pPr>
        <w:pStyle w:val="ListParagraph"/>
        <w:ind w:left="360"/>
      </w:pPr>
    </w:p>
    <w:p w:rsidR="00375491" w:rsidRDefault="00375491" w:rsidP="002F0D4C">
      <w:pPr>
        <w:pStyle w:val="ListParagraph"/>
        <w:ind w:left="360"/>
      </w:pPr>
    </w:p>
    <w:p w:rsidR="00375491" w:rsidRDefault="00375491" w:rsidP="002F0D4C">
      <w:pPr>
        <w:pStyle w:val="ListParagraph"/>
        <w:ind w:left="360"/>
      </w:pPr>
    </w:p>
    <w:p w:rsidR="00375491" w:rsidRDefault="00375491" w:rsidP="002F0D4C">
      <w:pPr>
        <w:pStyle w:val="ListParagraph"/>
        <w:ind w:left="360"/>
      </w:pPr>
    </w:p>
    <w:p w:rsidR="00375491" w:rsidRDefault="00375491" w:rsidP="002F0D4C">
      <w:pPr>
        <w:pStyle w:val="ListParagraph"/>
        <w:ind w:left="360"/>
      </w:pPr>
    </w:p>
    <w:p w:rsidR="00375491" w:rsidRDefault="00375491" w:rsidP="002F0D4C">
      <w:pPr>
        <w:pStyle w:val="ListParagraph"/>
        <w:ind w:left="360"/>
      </w:pPr>
    </w:p>
    <w:p w:rsidR="00375491" w:rsidRDefault="00375491" w:rsidP="002F0D4C">
      <w:pPr>
        <w:pStyle w:val="ListParagraph"/>
        <w:ind w:left="360"/>
      </w:pPr>
    </w:p>
    <w:p w:rsidR="00375491" w:rsidRDefault="00375491" w:rsidP="002F0D4C">
      <w:pPr>
        <w:pStyle w:val="ListParagraph"/>
        <w:ind w:left="360"/>
      </w:pPr>
    </w:p>
    <w:p w:rsidR="00375491" w:rsidRDefault="00375491" w:rsidP="002F0D4C">
      <w:pPr>
        <w:pStyle w:val="ListParagraph"/>
        <w:ind w:left="360"/>
      </w:pPr>
    </w:p>
    <w:p w:rsidR="00375491" w:rsidRDefault="00375491" w:rsidP="002F0D4C">
      <w:pPr>
        <w:pStyle w:val="ListParagraph"/>
        <w:ind w:left="360"/>
      </w:pPr>
    </w:p>
    <w:p w:rsidR="00375491" w:rsidRDefault="00375491" w:rsidP="002F0D4C">
      <w:pPr>
        <w:pStyle w:val="ListParagraph"/>
        <w:ind w:left="360"/>
      </w:pPr>
    </w:p>
    <w:p w:rsidR="00375491" w:rsidRDefault="00375491" w:rsidP="002F0D4C">
      <w:pPr>
        <w:pStyle w:val="ListParagraph"/>
        <w:ind w:left="360"/>
      </w:pPr>
    </w:p>
    <w:p w:rsidR="00375491" w:rsidRDefault="00375491" w:rsidP="002F0D4C">
      <w:pPr>
        <w:pStyle w:val="ListParagraph"/>
        <w:ind w:left="360"/>
      </w:pPr>
    </w:p>
    <w:p w:rsidR="00375491" w:rsidRDefault="00375491" w:rsidP="002F0D4C">
      <w:pPr>
        <w:pStyle w:val="ListParagraph"/>
        <w:ind w:left="360"/>
      </w:pPr>
    </w:p>
    <w:p w:rsidR="00375491" w:rsidRDefault="00375491" w:rsidP="002F0D4C">
      <w:pPr>
        <w:pStyle w:val="ListParagraph"/>
        <w:ind w:left="360"/>
      </w:pPr>
    </w:p>
    <w:p w:rsidR="00375491" w:rsidRDefault="00375491" w:rsidP="002F0D4C">
      <w:pPr>
        <w:pStyle w:val="ListParagraph"/>
        <w:ind w:left="360"/>
      </w:pPr>
    </w:p>
    <w:p w:rsidR="00375491" w:rsidRDefault="00375491" w:rsidP="002F0D4C">
      <w:pPr>
        <w:pStyle w:val="ListParagraph"/>
        <w:ind w:left="360"/>
      </w:pPr>
    </w:p>
    <w:p w:rsidR="00375491" w:rsidRDefault="00375491" w:rsidP="002F0D4C">
      <w:pPr>
        <w:pStyle w:val="ListParagraph"/>
        <w:ind w:left="360"/>
      </w:pPr>
    </w:p>
    <w:p w:rsidR="00375491" w:rsidRDefault="00375491" w:rsidP="002F0D4C">
      <w:pPr>
        <w:pStyle w:val="ListParagraph"/>
        <w:ind w:left="360"/>
      </w:pPr>
    </w:p>
    <w:p w:rsidR="0085722A" w:rsidRDefault="0085722A" w:rsidP="002F0D4C">
      <w:pPr>
        <w:pStyle w:val="ListParagraph"/>
        <w:ind w:left="360"/>
      </w:pPr>
    </w:p>
    <w:p w:rsidR="00375491" w:rsidRDefault="00375491" w:rsidP="002F0D4C">
      <w:pPr>
        <w:pStyle w:val="ListParagraph"/>
        <w:ind w:left="360"/>
        <w:rPr>
          <w:b/>
        </w:rPr>
        <w:sectPr w:rsidR="00375491" w:rsidSect="00725131">
          <w:pgSz w:w="11906" w:h="16838"/>
          <w:pgMar w:top="1440" w:right="1440" w:bottom="1440" w:left="1440" w:header="709" w:footer="709" w:gutter="0"/>
          <w:cols w:space="708"/>
          <w:docGrid w:linePitch="360"/>
        </w:sectPr>
      </w:pPr>
    </w:p>
    <w:p w:rsidR="002F0D4C" w:rsidRDefault="009F60FE" w:rsidP="002F0D4C">
      <w:pPr>
        <w:pStyle w:val="ListParagraph"/>
        <w:ind w:left="360"/>
        <w:rPr>
          <w:b/>
        </w:rPr>
      </w:pPr>
      <w:r w:rsidRPr="009F60FE">
        <w:rPr>
          <w:b/>
        </w:rPr>
        <w:t>6.</w:t>
      </w:r>
      <w:r w:rsidRPr="009F60FE">
        <w:rPr>
          <w:b/>
        </w:rPr>
        <w:tab/>
      </w:r>
      <w:r w:rsidR="002F0D4C" w:rsidRPr="009F60FE">
        <w:rPr>
          <w:b/>
        </w:rPr>
        <w:t>APB Commissioning Support Team work plan update</w:t>
      </w:r>
    </w:p>
    <w:p w:rsidR="009F60FE" w:rsidRDefault="009F60FE" w:rsidP="002F0D4C">
      <w:pPr>
        <w:pStyle w:val="ListParagraph"/>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1"/>
        <w:gridCol w:w="3177"/>
        <w:gridCol w:w="2344"/>
        <w:gridCol w:w="1622"/>
        <w:gridCol w:w="3510"/>
      </w:tblGrid>
      <w:tr w:rsidR="00375491" w:rsidRPr="00375491" w:rsidTr="00375491">
        <w:tc>
          <w:tcPr>
            <w:tcW w:w="0" w:type="auto"/>
            <w:shd w:val="clear" w:color="auto" w:fill="A6A6A6"/>
          </w:tcPr>
          <w:p w:rsidR="00375491" w:rsidRPr="00375491" w:rsidRDefault="00375491" w:rsidP="00375491">
            <w:pPr>
              <w:pStyle w:val="ListParagraph"/>
              <w:ind w:left="360"/>
              <w:rPr>
                <w:b/>
              </w:rPr>
            </w:pPr>
            <w:r w:rsidRPr="00375491">
              <w:rPr>
                <w:b/>
              </w:rPr>
              <w:t>Objective</w:t>
            </w:r>
          </w:p>
        </w:tc>
        <w:tc>
          <w:tcPr>
            <w:tcW w:w="0" w:type="auto"/>
            <w:shd w:val="clear" w:color="auto" w:fill="A6A6A6"/>
          </w:tcPr>
          <w:p w:rsidR="00375491" w:rsidRPr="00375491" w:rsidRDefault="00375491" w:rsidP="00375491">
            <w:pPr>
              <w:pStyle w:val="ListParagraph"/>
              <w:ind w:left="360"/>
              <w:rPr>
                <w:b/>
              </w:rPr>
            </w:pPr>
            <w:r w:rsidRPr="00375491">
              <w:rPr>
                <w:b/>
              </w:rPr>
              <w:t>Key Actions</w:t>
            </w:r>
          </w:p>
        </w:tc>
        <w:tc>
          <w:tcPr>
            <w:tcW w:w="0" w:type="auto"/>
            <w:shd w:val="clear" w:color="auto" w:fill="A6A6A6"/>
          </w:tcPr>
          <w:p w:rsidR="00375491" w:rsidRPr="00375491" w:rsidRDefault="00375491" w:rsidP="00375491">
            <w:pPr>
              <w:pStyle w:val="ListParagraph"/>
              <w:ind w:left="360"/>
              <w:rPr>
                <w:b/>
              </w:rPr>
            </w:pPr>
            <w:r w:rsidRPr="00375491">
              <w:rPr>
                <w:b/>
              </w:rPr>
              <w:t xml:space="preserve">Responsibility </w:t>
            </w:r>
          </w:p>
        </w:tc>
        <w:tc>
          <w:tcPr>
            <w:tcW w:w="0" w:type="auto"/>
            <w:shd w:val="clear" w:color="auto" w:fill="A6A6A6"/>
          </w:tcPr>
          <w:p w:rsidR="00375491" w:rsidRPr="00375491" w:rsidRDefault="00375491" w:rsidP="00375491">
            <w:pPr>
              <w:pStyle w:val="ListParagraph"/>
              <w:ind w:left="360"/>
              <w:rPr>
                <w:b/>
              </w:rPr>
            </w:pPr>
            <w:r w:rsidRPr="00375491">
              <w:rPr>
                <w:b/>
              </w:rPr>
              <w:t>Timescales</w:t>
            </w:r>
          </w:p>
        </w:tc>
        <w:tc>
          <w:tcPr>
            <w:tcW w:w="0" w:type="auto"/>
            <w:shd w:val="clear" w:color="auto" w:fill="A6A6A6"/>
          </w:tcPr>
          <w:p w:rsidR="00375491" w:rsidRPr="00375491" w:rsidRDefault="00375491" w:rsidP="00375491">
            <w:pPr>
              <w:pStyle w:val="ListParagraph"/>
              <w:ind w:left="360"/>
              <w:rPr>
                <w:b/>
              </w:rPr>
            </w:pPr>
            <w:r w:rsidRPr="00375491">
              <w:rPr>
                <w:b/>
              </w:rPr>
              <w:t>Progress (RAG)</w:t>
            </w:r>
          </w:p>
        </w:tc>
      </w:tr>
      <w:tr w:rsidR="00DB2AC6" w:rsidRPr="00375491" w:rsidTr="00DB2AC6">
        <w:trPr>
          <w:trHeight w:val="262"/>
        </w:trPr>
        <w:tc>
          <w:tcPr>
            <w:tcW w:w="0" w:type="auto"/>
            <w:gridSpan w:val="5"/>
            <w:shd w:val="clear" w:color="auto" w:fill="D9D9D9"/>
          </w:tcPr>
          <w:p w:rsidR="00DB2AC6" w:rsidRPr="00375491" w:rsidRDefault="00DB2AC6" w:rsidP="00375491">
            <w:pPr>
              <w:pStyle w:val="ListParagraph"/>
              <w:ind w:left="360"/>
              <w:rPr>
                <w:b/>
              </w:rPr>
            </w:pPr>
            <w:r w:rsidRPr="00375491">
              <w:rPr>
                <w:b/>
              </w:rPr>
              <w:t>Commissioning Support</w:t>
            </w:r>
          </w:p>
        </w:tc>
      </w:tr>
      <w:tr w:rsidR="00375491" w:rsidRPr="00375491" w:rsidTr="00375491">
        <w:tc>
          <w:tcPr>
            <w:tcW w:w="0" w:type="auto"/>
            <w:shd w:val="clear" w:color="auto" w:fill="auto"/>
          </w:tcPr>
          <w:p w:rsidR="00375491" w:rsidRPr="00375491" w:rsidRDefault="00375491" w:rsidP="00375491">
            <w:pPr>
              <w:pStyle w:val="ListParagraph"/>
              <w:ind w:left="360"/>
            </w:pPr>
            <w:r w:rsidRPr="00375491">
              <w:t>Ensure the Support Team structure is adequate to meet the needs of the APB</w:t>
            </w:r>
          </w:p>
        </w:tc>
        <w:tc>
          <w:tcPr>
            <w:tcW w:w="0" w:type="auto"/>
            <w:shd w:val="clear" w:color="auto" w:fill="auto"/>
          </w:tcPr>
          <w:p w:rsidR="00375491" w:rsidRPr="00375491" w:rsidRDefault="00375491" w:rsidP="00375491">
            <w:pPr>
              <w:pStyle w:val="ListParagraph"/>
              <w:ind w:left="360"/>
            </w:pPr>
            <w:r w:rsidRPr="00375491">
              <w:t>Confirm Commissioning Support Team Structure</w:t>
            </w:r>
          </w:p>
        </w:tc>
        <w:tc>
          <w:tcPr>
            <w:tcW w:w="0" w:type="auto"/>
            <w:shd w:val="clear" w:color="auto" w:fill="auto"/>
          </w:tcPr>
          <w:p w:rsidR="00375491" w:rsidRPr="00375491" w:rsidRDefault="00375491" w:rsidP="00375491">
            <w:pPr>
              <w:pStyle w:val="ListParagraph"/>
              <w:ind w:left="360"/>
            </w:pPr>
            <w:r w:rsidRPr="00375491">
              <w:t>Steve Adie</w:t>
            </w:r>
          </w:p>
        </w:tc>
        <w:tc>
          <w:tcPr>
            <w:tcW w:w="0" w:type="auto"/>
            <w:shd w:val="clear" w:color="auto" w:fill="auto"/>
          </w:tcPr>
          <w:p w:rsidR="00375491" w:rsidRPr="00375491" w:rsidRDefault="00375491" w:rsidP="00375491">
            <w:pPr>
              <w:pStyle w:val="ListParagraph"/>
              <w:ind w:left="360"/>
            </w:pPr>
            <w:r w:rsidRPr="00375491">
              <w:t>April 2016</w:t>
            </w:r>
          </w:p>
        </w:tc>
        <w:tc>
          <w:tcPr>
            <w:tcW w:w="0" w:type="auto"/>
            <w:shd w:val="clear" w:color="auto" w:fill="00B050"/>
          </w:tcPr>
          <w:p w:rsidR="00375491" w:rsidRPr="00375491" w:rsidRDefault="00375491" w:rsidP="00375491">
            <w:pPr>
              <w:pStyle w:val="ListParagraph"/>
              <w:ind w:left="360"/>
            </w:pPr>
            <w:r w:rsidRPr="00375491">
              <w:t>Complete</w:t>
            </w:r>
          </w:p>
        </w:tc>
      </w:tr>
      <w:tr w:rsidR="00375491" w:rsidRPr="00375491" w:rsidTr="00375491">
        <w:tc>
          <w:tcPr>
            <w:tcW w:w="0" w:type="auto"/>
            <w:shd w:val="clear" w:color="auto" w:fill="auto"/>
          </w:tcPr>
          <w:p w:rsidR="00375491" w:rsidRPr="00375491" w:rsidRDefault="00375491" w:rsidP="00375491">
            <w:pPr>
              <w:pStyle w:val="ListParagraph"/>
              <w:ind w:left="360"/>
            </w:pPr>
          </w:p>
        </w:tc>
        <w:tc>
          <w:tcPr>
            <w:tcW w:w="0" w:type="auto"/>
            <w:shd w:val="clear" w:color="auto" w:fill="auto"/>
          </w:tcPr>
          <w:p w:rsidR="00375491" w:rsidRPr="00375491" w:rsidRDefault="00375491" w:rsidP="00375491">
            <w:pPr>
              <w:pStyle w:val="ListParagraph"/>
              <w:ind w:left="360"/>
            </w:pPr>
            <w:r w:rsidRPr="00375491">
              <w:t>To provide support to the APB and its sub groups</w:t>
            </w:r>
          </w:p>
        </w:tc>
        <w:tc>
          <w:tcPr>
            <w:tcW w:w="0" w:type="auto"/>
            <w:shd w:val="clear" w:color="auto" w:fill="auto"/>
          </w:tcPr>
          <w:p w:rsidR="00375491" w:rsidRPr="00375491" w:rsidRDefault="00375491" w:rsidP="00375491">
            <w:pPr>
              <w:pStyle w:val="ListParagraph"/>
              <w:ind w:left="360"/>
            </w:pPr>
            <w:r w:rsidRPr="00375491">
              <w:t>Regional Team</w:t>
            </w:r>
          </w:p>
        </w:tc>
        <w:tc>
          <w:tcPr>
            <w:tcW w:w="0" w:type="auto"/>
            <w:shd w:val="clear" w:color="auto" w:fill="auto"/>
          </w:tcPr>
          <w:p w:rsidR="00375491" w:rsidRPr="00375491" w:rsidRDefault="00375491" w:rsidP="00375491">
            <w:pPr>
              <w:pStyle w:val="ListParagraph"/>
              <w:ind w:left="360"/>
            </w:pPr>
            <w:r w:rsidRPr="00375491">
              <w:t>Ongoing</w:t>
            </w:r>
          </w:p>
        </w:tc>
        <w:tc>
          <w:tcPr>
            <w:tcW w:w="0" w:type="auto"/>
            <w:shd w:val="clear" w:color="auto" w:fill="00B050"/>
          </w:tcPr>
          <w:p w:rsidR="00375491" w:rsidRPr="00375491" w:rsidRDefault="00375491" w:rsidP="00375491">
            <w:pPr>
              <w:pStyle w:val="ListParagraph"/>
              <w:ind w:left="360"/>
            </w:pPr>
            <w:r w:rsidRPr="00375491">
              <w:t>Ongoing</w:t>
            </w:r>
          </w:p>
        </w:tc>
      </w:tr>
      <w:tr w:rsidR="00DB2AC6" w:rsidRPr="00375491" w:rsidTr="0073391F">
        <w:tc>
          <w:tcPr>
            <w:tcW w:w="0" w:type="auto"/>
            <w:gridSpan w:val="5"/>
            <w:shd w:val="clear" w:color="auto" w:fill="D9D9D9"/>
          </w:tcPr>
          <w:p w:rsidR="00DB2AC6" w:rsidRPr="00375491" w:rsidRDefault="00DB2AC6" w:rsidP="00375491">
            <w:pPr>
              <w:pStyle w:val="ListParagraph"/>
              <w:ind w:left="360"/>
            </w:pPr>
            <w:r w:rsidRPr="00375491">
              <w:rPr>
                <w:b/>
              </w:rPr>
              <w:t xml:space="preserve">Governance </w:t>
            </w:r>
          </w:p>
        </w:tc>
      </w:tr>
      <w:tr w:rsidR="00375491" w:rsidRPr="00375491" w:rsidTr="00375491">
        <w:trPr>
          <w:trHeight w:val="1064"/>
        </w:trPr>
        <w:tc>
          <w:tcPr>
            <w:tcW w:w="0" w:type="auto"/>
            <w:vMerge w:val="restart"/>
            <w:shd w:val="clear" w:color="auto" w:fill="auto"/>
          </w:tcPr>
          <w:p w:rsidR="00375491" w:rsidRPr="00375491" w:rsidRDefault="00375491" w:rsidP="00375491">
            <w:pPr>
              <w:pStyle w:val="ListParagraph"/>
              <w:ind w:left="360"/>
            </w:pPr>
            <w:r w:rsidRPr="00375491">
              <w:t>Ensure good governance is in place in relation to the APB and its subgroups</w:t>
            </w:r>
          </w:p>
        </w:tc>
        <w:tc>
          <w:tcPr>
            <w:tcW w:w="0" w:type="auto"/>
            <w:shd w:val="clear" w:color="auto" w:fill="auto"/>
          </w:tcPr>
          <w:p w:rsidR="00375491" w:rsidRPr="00375491" w:rsidRDefault="00375491" w:rsidP="00375491">
            <w:pPr>
              <w:pStyle w:val="ListParagraph"/>
              <w:ind w:left="360"/>
            </w:pPr>
            <w:r w:rsidRPr="00375491">
              <w:t>Implement the Governance Framework for the Area Planning Board</w:t>
            </w:r>
          </w:p>
        </w:tc>
        <w:tc>
          <w:tcPr>
            <w:tcW w:w="0" w:type="auto"/>
            <w:shd w:val="clear" w:color="auto" w:fill="auto"/>
          </w:tcPr>
          <w:p w:rsidR="00375491" w:rsidRPr="00375491" w:rsidRDefault="00375491" w:rsidP="00375491">
            <w:pPr>
              <w:pStyle w:val="ListParagraph"/>
              <w:ind w:left="360"/>
            </w:pPr>
            <w:r w:rsidRPr="00375491">
              <w:t>Steve Adie</w:t>
            </w:r>
          </w:p>
        </w:tc>
        <w:tc>
          <w:tcPr>
            <w:tcW w:w="0" w:type="auto"/>
            <w:shd w:val="clear" w:color="auto" w:fill="auto"/>
          </w:tcPr>
          <w:p w:rsidR="00375491" w:rsidRPr="00375491" w:rsidRDefault="00375491" w:rsidP="00375491">
            <w:pPr>
              <w:pStyle w:val="ListParagraph"/>
              <w:ind w:left="360"/>
            </w:pPr>
            <w:r w:rsidRPr="00375491">
              <w:t>April 2016</w:t>
            </w:r>
          </w:p>
        </w:tc>
        <w:tc>
          <w:tcPr>
            <w:tcW w:w="0" w:type="auto"/>
            <w:shd w:val="clear" w:color="auto" w:fill="00B050"/>
          </w:tcPr>
          <w:p w:rsidR="00375491" w:rsidRPr="00375491" w:rsidRDefault="00375491" w:rsidP="00375491">
            <w:pPr>
              <w:pStyle w:val="ListParagraph"/>
              <w:ind w:left="360"/>
            </w:pPr>
            <w:r w:rsidRPr="00375491">
              <w:t>Complete</w:t>
            </w:r>
          </w:p>
        </w:tc>
      </w:tr>
      <w:tr w:rsidR="00375491" w:rsidRPr="00375491" w:rsidTr="00375491">
        <w:tc>
          <w:tcPr>
            <w:tcW w:w="0" w:type="auto"/>
            <w:vMerge/>
            <w:shd w:val="clear" w:color="auto" w:fill="auto"/>
          </w:tcPr>
          <w:p w:rsidR="00375491" w:rsidRPr="00375491" w:rsidRDefault="00375491" w:rsidP="00375491">
            <w:pPr>
              <w:pStyle w:val="ListParagraph"/>
              <w:ind w:left="360"/>
            </w:pPr>
          </w:p>
        </w:tc>
        <w:tc>
          <w:tcPr>
            <w:tcW w:w="0" w:type="auto"/>
            <w:shd w:val="clear" w:color="auto" w:fill="auto"/>
          </w:tcPr>
          <w:p w:rsidR="00375491" w:rsidRPr="00375491" w:rsidRDefault="00375491" w:rsidP="00375491">
            <w:pPr>
              <w:pStyle w:val="ListParagraph"/>
              <w:ind w:left="360"/>
            </w:pPr>
            <w:r w:rsidRPr="00375491">
              <w:t>Review the Governance Framework</w:t>
            </w:r>
          </w:p>
        </w:tc>
        <w:tc>
          <w:tcPr>
            <w:tcW w:w="0" w:type="auto"/>
            <w:shd w:val="clear" w:color="auto" w:fill="auto"/>
          </w:tcPr>
          <w:p w:rsidR="00375491" w:rsidRPr="00375491" w:rsidRDefault="00375491" w:rsidP="00375491">
            <w:pPr>
              <w:pStyle w:val="ListParagraph"/>
              <w:ind w:left="360"/>
            </w:pPr>
            <w:r w:rsidRPr="00375491">
              <w:t>Steve Adie</w:t>
            </w:r>
          </w:p>
        </w:tc>
        <w:tc>
          <w:tcPr>
            <w:tcW w:w="0" w:type="auto"/>
            <w:shd w:val="clear" w:color="auto" w:fill="auto"/>
          </w:tcPr>
          <w:p w:rsidR="00375491" w:rsidRPr="00375491" w:rsidRDefault="00375491" w:rsidP="00375491">
            <w:pPr>
              <w:pStyle w:val="ListParagraph"/>
              <w:ind w:left="360"/>
            </w:pPr>
            <w:r w:rsidRPr="00375491">
              <w:t>Annually</w:t>
            </w:r>
          </w:p>
        </w:tc>
        <w:tc>
          <w:tcPr>
            <w:tcW w:w="0" w:type="auto"/>
            <w:shd w:val="clear" w:color="auto" w:fill="E36C0A"/>
            <w:vAlign w:val="bottom"/>
          </w:tcPr>
          <w:p w:rsidR="00375491" w:rsidRPr="00375491" w:rsidRDefault="00375491" w:rsidP="00375491">
            <w:pPr>
              <w:pStyle w:val="ListParagraph"/>
              <w:ind w:left="360"/>
            </w:pPr>
            <w:r w:rsidRPr="00375491">
              <w:t>Ongoing</w:t>
            </w:r>
          </w:p>
          <w:p w:rsidR="00375491" w:rsidRPr="00375491" w:rsidRDefault="00375491" w:rsidP="00375491">
            <w:pPr>
              <w:pStyle w:val="ListParagraph"/>
              <w:ind w:left="360"/>
            </w:pPr>
          </w:p>
        </w:tc>
      </w:tr>
      <w:tr w:rsidR="00375491" w:rsidRPr="00375491" w:rsidTr="00375491">
        <w:trPr>
          <w:trHeight w:val="1856"/>
        </w:trPr>
        <w:tc>
          <w:tcPr>
            <w:tcW w:w="0" w:type="auto"/>
            <w:vMerge/>
            <w:shd w:val="clear" w:color="auto" w:fill="auto"/>
          </w:tcPr>
          <w:p w:rsidR="00375491" w:rsidRPr="00375491" w:rsidRDefault="00375491" w:rsidP="00375491">
            <w:pPr>
              <w:pStyle w:val="ListParagraph"/>
              <w:ind w:left="360"/>
            </w:pPr>
          </w:p>
        </w:tc>
        <w:tc>
          <w:tcPr>
            <w:tcW w:w="0" w:type="auto"/>
            <w:shd w:val="clear" w:color="auto" w:fill="auto"/>
          </w:tcPr>
          <w:p w:rsidR="00375491" w:rsidRPr="00375491" w:rsidRDefault="00375491" w:rsidP="00375491">
            <w:pPr>
              <w:pStyle w:val="ListParagraph"/>
              <w:ind w:left="360"/>
            </w:pPr>
            <w:r w:rsidRPr="00375491">
              <w:t>Ensure work plans are in place for each APB sub group and that they are in line with Welsh Government’s new Delivery Plan.</w:t>
            </w:r>
            <w:r w:rsidRPr="00375491">
              <w:tab/>
            </w:r>
          </w:p>
          <w:p w:rsidR="00375491" w:rsidRPr="00375491" w:rsidRDefault="00375491" w:rsidP="00375491">
            <w:pPr>
              <w:pStyle w:val="ListParagraph"/>
              <w:ind w:left="360"/>
            </w:pPr>
          </w:p>
        </w:tc>
        <w:tc>
          <w:tcPr>
            <w:tcW w:w="0" w:type="auto"/>
            <w:shd w:val="clear" w:color="auto" w:fill="auto"/>
          </w:tcPr>
          <w:p w:rsidR="00375491" w:rsidRPr="00375491" w:rsidRDefault="00375491" w:rsidP="00375491">
            <w:pPr>
              <w:pStyle w:val="ListParagraph"/>
              <w:ind w:left="360"/>
            </w:pPr>
            <w:r w:rsidRPr="00375491">
              <w:t>Steve Adie/ Julia Jenkins</w:t>
            </w:r>
          </w:p>
        </w:tc>
        <w:tc>
          <w:tcPr>
            <w:tcW w:w="0" w:type="auto"/>
            <w:shd w:val="clear" w:color="auto" w:fill="auto"/>
          </w:tcPr>
          <w:p w:rsidR="00375491" w:rsidRPr="00375491" w:rsidRDefault="00375491" w:rsidP="00375491">
            <w:pPr>
              <w:pStyle w:val="ListParagraph"/>
              <w:ind w:left="360"/>
            </w:pPr>
            <w:r w:rsidRPr="00375491">
              <w:t>July 2016</w:t>
            </w:r>
          </w:p>
        </w:tc>
        <w:tc>
          <w:tcPr>
            <w:tcW w:w="0" w:type="auto"/>
            <w:shd w:val="clear" w:color="auto" w:fill="E36C0A"/>
          </w:tcPr>
          <w:p w:rsidR="00375491" w:rsidRPr="00375491" w:rsidRDefault="00375491" w:rsidP="00375491">
            <w:pPr>
              <w:pStyle w:val="ListParagraph"/>
              <w:ind w:left="360"/>
            </w:pPr>
            <w:r w:rsidRPr="00375491">
              <w:t>2 Sub Group have finalised work plans and 4 are still in draft form.</w:t>
            </w:r>
          </w:p>
          <w:p w:rsidR="00375491" w:rsidRPr="00375491" w:rsidRDefault="00375491" w:rsidP="00375491">
            <w:pPr>
              <w:pStyle w:val="ListParagraph"/>
              <w:ind w:left="360"/>
            </w:pPr>
          </w:p>
        </w:tc>
      </w:tr>
      <w:tr w:rsidR="00375491" w:rsidRPr="00375491" w:rsidTr="00375491">
        <w:tc>
          <w:tcPr>
            <w:tcW w:w="0" w:type="auto"/>
            <w:vMerge/>
            <w:shd w:val="clear" w:color="auto" w:fill="auto"/>
          </w:tcPr>
          <w:p w:rsidR="00375491" w:rsidRPr="00375491" w:rsidRDefault="00375491" w:rsidP="00375491">
            <w:pPr>
              <w:pStyle w:val="ListParagraph"/>
              <w:ind w:left="360"/>
            </w:pPr>
          </w:p>
        </w:tc>
        <w:tc>
          <w:tcPr>
            <w:tcW w:w="0" w:type="auto"/>
            <w:shd w:val="clear" w:color="auto" w:fill="auto"/>
          </w:tcPr>
          <w:p w:rsidR="00375491" w:rsidRPr="00375491" w:rsidRDefault="00375491" w:rsidP="00375491">
            <w:pPr>
              <w:pStyle w:val="ListParagraph"/>
              <w:ind w:left="360"/>
            </w:pPr>
            <w:r w:rsidRPr="00375491">
              <w:t>Review sub group work plans</w:t>
            </w:r>
          </w:p>
        </w:tc>
        <w:tc>
          <w:tcPr>
            <w:tcW w:w="0" w:type="auto"/>
            <w:shd w:val="clear" w:color="auto" w:fill="auto"/>
          </w:tcPr>
          <w:p w:rsidR="00375491" w:rsidRPr="00375491" w:rsidRDefault="00375491" w:rsidP="00375491">
            <w:pPr>
              <w:pStyle w:val="ListParagraph"/>
              <w:ind w:left="360"/>
            </w:pPr>
            <w:r w:rsidRPr="00375491">
              <w:t>Steve Adie/Julia Jenkins</w:t>
            </w:r>
          </w:p>
        </w:tc>
        <w:tc>
          <w:tcPr>
            <w:tcW w:w="0" w:type="auto"/>
            <w:shd w:val="clear" w:color="auto" w:fill="auto"/>
          </w:tcPr>
          <w:p w:rsidR="00375491" w:rsidRPr="00375491" w:rsidRDefault="00375491" w:rsidP="00375491">
            <w:pPr>
              <w:pStyle w:val="ListParagraph"/>
              <w:ind w:left="360"/>
            </w:pPr>
            <w:r w:rsidRPr="00375491">
              <w:t>Ongoing</w:t>
            </w:r>
          </w:p>
          <w:p w:rsidR="00375491" w:rsidRPr="00375491" w:rsidRDefault="00375491" w:rsidP="00375491">
            <w:pPr>
              <w:pStyle w:val="ListParagraph"/>
              <w:ind w:left="360"/>
            </w:pPr>
          </w:p>
          <w:p w:rsidR="00375491" w:rsidRPr="00375491" w:rsidRDefault="00375491" w:rsidP="00375491">
            <w:pPr>
              <w:pStyle w:val="ListParagraph"/>
              <w:ind w:left="360"/>
            </w:pPr>
          </w:p>
          <w:p w:rsidR="00375491" w:rsidRPr="00375491" w:rsidRDefault="00375491" w:rsidP="00375491">
            <w:pPr>
              <w:pStyle w:val="ListParagraph"/>
              <w:ind w:left="360"/>
            </w:pPr>
          </w:p>
        </w:tc>
        <w:tc>
          <w:tcPr>
            <w:tcW w:w="0" w:type="auto"/>
            <w:shd w:val="clear" w:color="auto" w:fill="E36C0A"/>
            <w:vAlign w:val="bottom"/>
          </w:tcPr>
          <w:p w:rsidR="00375491" w:rsidRPr="00375491" w:rsidRDefault="00375491" w:rsidP="00375491">
            <w:pPr>
              <w:pStyle w:val="ListParagraph"/>
              <w:ind w:left="360"/>
            </w:pPr>
            <w:r w:rsidRPr="00375491">
              <w:t>Ongoing</w:t>
            </w:r>
          </w:p>
          <w:p w:rsidR="00375491" w:rsidRPr="00375491" w:rsidRDefault="00375491" w:rsidP="00375491">
            <w:pPr>
              <w:pStyle w:val="ListParagraph"/>
              <w:ind w:left="360"/>
            </w:pPr>
          </w:p>
          <w:p w:rsidR="00375491" w:rsidRPr="00375491" w:rsidRDefault="00375491" w:rsidP="00375491">
            <w:pPr>
              <w:pStyle w:val="ListParagraph"/>
              <w:ind w:left="360"/>
            </w:pPr>
          </w:p>
          <w:p w:rsidR="00375491" w:rsidRPr="00375491" w:rsidRDefault="00375491" w:rsidP="00375491">
            <w:pPr>
              <w:pStyle w:val="ListParagraph"/>
              <w:ind w:left="360"/>
            </w:pPr>
            <w:r w:rsidRPr="00375491">
              <w:t xml:space="preserve"> </w:t>
            </w:r>
          </w:p>
        </w:tc>
      </w:tr>
      <w:tr w:rsidR="00375491" w:rsidRPr="00375491" w:rsidTr="00375491">
        <w:tc>
          <w:tcPr>
            <w:tcW w:w="0" w:type="auto"/>
            <w:shd w:val="clear" w:color="auto" w:fill="auto"/>
          </w:tcPr>
          <w:p w:rsidR="00375491" w:rsidRPr="00375491" w:rsidRDefault="00375491" w:rsidP="00375491">
            <w:pPr>
              <w:pStyle w:val="ListParagraph"/>
              <w:ind w:left="360"/>
            </w:pPr>
          </w:p>
        </w:tc>
        <w:tc>
          <w:tcPr>
            <w:tcW w:w="0" w:type="auto"/>
            <w:shd w:val="clear" w:color="auto" w:fill="auto"/>
          </w:tcPr>
          <w:p w:rsidR="00375491" w:rsidRPr="00375491" w:rsidRDefault="00375491" w:rsidP="00375491">
            <w:pPr>
              <w:pStyle w:val="ListParagraph"/>
              <w:ind w:left="360"/>
            </w:pPr>
            <w:r w:rsidRPr="00375491">
              <w:t>Address any clinical governance issues</w:t>
            </w:r>
          </w:p>
        </w:tc>
        <w:tc>
          <w:tcPr>
            <w:tcW w:w="0" w:type="auto"/>
            <w:shd w:val="clear" w:color="auto" w:fill="auto"/>
          </w:tcPr>
          <w:p w:rsidR="00375491" w:rsidRPr="00375491" w:rsidRDefault="00375491" w:rsidP="00375491">
            <w:pPr>
              <w:pStyle w:val="ListParagraph"/>
              <w:ind w:left="360"/>
            </w:pPr>
            <w:r w:rsidRPr="00375491">
              <w:t>Steve Adie/Julia Jenkins</w:t>
            </w:r>
          </w:p>
        </w:tc>
        <w:tc>
          <w:tcPr>
            <w:tcW w:w="0" w:type="auto"/>
            <w:shd w:val="clear" w:color="auto" w:fill="auto"/>
          </w:tcPr>
          <w:p w:rsidR="00375491" w:rsidRPr="00375491" w:rsidRDefault="00375491" w:rsidP="00375491">
            <w:pPr>
              <w:pStyle w:val="ListParagraph"/>
              <w:ind w:left="360"/>
            </w:pPr>
            <w:r w:rsidRPr="00375491">
              <w:t>July 2016</w:t>
            </w:r>
          </w:p>
        </w:tc>
        <w:tc>
          <w:tcPr>
            <w:tcW w:w="0" w:type="auto"/>
            <w:shd w:val="clear" w:color="auto" w:fill="E36C0A"/>
            <w:vAlign w:val="bottom"/>
          </w:tcPr>
          <w:p w:rsidR="00375491" w:rsidRPr="00375491" w:rsidRDefault="00375491" w:rsidP="00A134AE">
            <w:pPr>
              <w:pStyle w:val="ListParagraph"/>
              <w:ind w:left="360"/>
            </w:pPr>
            <w:r w:rsidRPr="00375491">
              <w:t xml:space="preserve">This will be built into new contracts to be issued from </w:t>
            </w:r>
            <w:r w:rsidR="00A134AE">
              <w:t>April 17.</w:t>
            </w:r>
          </w:p>
        </w:tc>
      </w:tr>
      <w:tr w:rsidR="00375491" w:rsidRPr="00375491" w:rsidTr="00375491">
        <w:tc>
          <w:tcPr>
            <w:tcW w:w="0" w:type="auto"/>
            <w:shd w:val="clear" w:color="auto" w:fill="auto"/>
          </w:tcPr>
          <w:p w:rsidR="00375491" w:rsidRPr="00375491" w:rsidRDefault="00375491" w:rsidP="00375491">
            <w:pPr>
              <w:pStyle w:val="ListParagraph"/>
              <w:ind w:left="360"/>
            </w:pPr>
          </w:p>
        </w:tc>
        <w:tc>
          <w:tcPr>
            <w:tcW w:w="0" w:type="auto"/>
            <w:shd w:val="clear" w:color="auto" w:fill="auto"/>
          </w:tcPr>
          <w:p w:rsidR="00375491" w:rsidRPr="00375491" w:rsidRDefault="00375491" w:rsidP="00375491">
            <w:pPr>
              <w:pStyle w:val="ListParagraph"/>
              <w:ind w:left="360"/>
            </w:pPr>
            <w:r w:rsidRPr="00375491">
              <w:t>Put Agreement in place between APB and CCoS in relation to PARIS</w:t>
            </w:r>
          </w:p>
        </w:tc>
        <w:tc>
          <w:tcPr>
            <w:tcW w:w="0" w:type="auto"/>
            <w:shd w:val="clear" w:color="auto" w:fill="auto"/>
          </w:tcPr>
          <w:p w:rsidR="00375491" w:rsidRPr="00375491" w:rsidRDefault="00375491" w:rsidP="00375491">
            <w:pPr>
              <w:pStyle w:val="ListParagraph"/>
              <w:ind w:left="360"/>
            </w:pPr>
            <w:r w:rsidRPr="00375491">
              <w:t>Steve Adie/Julia Jenkins</w:t>
            </w:r>
          </w:p>
        </w:tc>
        <w:tc>
          <w:tcPr>
            <w:tcW w:w="0" w:type="auto"/>
            <w:shd w:val="clear" w:color="auto" w:fill="auto"/>
          </w:tcPr>
          <w:p w:rsidR="00375491" w:rsidRPr="00375491" w:rsidRDefault="00375491" w:rsidP="00375491">
            <w:pPr>
              <w:pStyle w:val="ListParagraph"/>
              <w:ind w:left="360"/>
            </w:pPr>
            <w:r w:rsidRPr="00375491">
              <w:t>July 2016</w:t>
            </w:r>
          </w:p>
        </w:tc>
        <w:tc>
          <w:tcPr>
            <w:tcW w:w="0" w:type="auto"/>
            <w:shd w:val="clear" w:color="auto" w:fill="E36C0A"/>
            <w:vAlign w:val="bottom"/>
          </w:tcPr>
          <w:p w:rsidR="00375491" w:rsidRPr="00375491" w:rsidRDefault="00375491" w:rsidP="00A134AE">
            <w:pPr>
              <w:pStyle w:val="ListParagraph"/>
              <w:ind w:left="360"/>
            </w:pPr>
            <w:r w:rsidRPr="00375491">
              <w:t xml:space="preserve">This will also take effect from </w:t>
            </w:r>
            <w:r w:rsidR="00A134AE">
              <w:t>April 17</w:t>
            </w:r>
          </w:p>
        </w:tc>
      </w:tr>
      <w:tr w:rsidR="00375491" w:rsidRPr="00375491" w:rsidTr="00375491">
        <w:tc>
          <w:tcPr>
            <w:tcW w:w="0" w:type="auto"/>
            <w:shd w:val="clear" w:color="auto" w:fill="auto"/>
          </w:tcPr>
          <w:p w:rsidR="00375491" w:rsidRPr="00375491" w:rsidRDefault="00375491" w:rsidP="00375491">
            <w:pPr>
              <w:pStyle w:val="ListParagraph"/>
              <w:ind w:left="360"/>
            </w:pPr>
          </w:p>
        </w:tc>
        <w:tc>
          <w:tcPr>
            <w:tcW w:w="0" w:type="auto"/>
            <w:shd w:val="clear" w:color="auto" w:fill="auto"/>
          </w:tcPr>
          <w:p w:rsidR="00375491" w:rsidRPr="00375491" w:rsidRDefault="00375491" w:rsidP="00375491">
            <w:pPr>
              <w:pStyle w:val="ListParagraph"/>
              <w:ind w:left="360"/>
            </w:pPr>
            <w:r w:rsidRPr="00375491">
              <w:t>Attend regular briefing meetings with the chair of the APB</w:t>
            </w:r>
          </w:p>
        </w:tc>
        <w:tc>
          <w:tcPr>
            <w:tcW w:w="0" w:type="auto"/>
            <w:shd w:val="clear" w:color="auto" w:fill="auto"/>
          </w:tcPr>
          <w:p w:rsidR="00375491" w:rsidRPr="00375491" w:rsidRDefault="00375491" w:rsidP="00375491">
            <w:pPr>
              <w:pStyle w:val="ListParagraph"/>
              <w:ind w:left="360"/>
            </w:pPr>
            <w:r w:rsidRPr="00375491">
              <w:t>Steve Adie</w:t>
            </w:r>
          </w:p>
        </w:tc>
        <w:tc>
          <w:tcPr>
            <w:tcW w:w="0" w:type="auto"/>
            <w:shd w:val="clear" w:color="auto" w:fill="auto"/>
          </w:tcPr>
          <w:p w:rsidR="00375491" w:rsidRPr="00375491" w:rsidRDefault="00375491" w:rsidP="00375491">
            <w:pPr>
              <w:pStyle w:val="ListParagraph"/>
              <w:ind w:left="360"/>
            </w:pPr>
            <w:r w:rsidRPr="00375491">
              <w:t>Monthly</w:t>
            </w:r>
          </w:p>
        </w:tc>
        <w:tc>
          <w:tcPr>
            <w:tcW w:w="0" w:type="auto"/>
            <w:shd w:val="clear" w:color="auto" w:fill="00B050"/>
          </w:tcPr>
          <w:p w:rsidR="00375491" w:rsidRPr="00375491" w:rsidRDefault="00375491" w:rsidP="00375491">
            <w:pPr>
              <w:pStyle w:val="ListParagraph"/>
              <w:ind w:left="360"/>
            </w:pPr>
            <w:r w:rsidRPr="00375491">
              <w:t>Monthly</w:t>
            </w:r>
          </w:p>
        </w:tc>
      </w:tr>
      <w:tr w:rsidR="00375491" w:rsidRPr="00375491" w:rsidTr="00375491">
        <w:tc>
          <w:tcPr>
            <w:tcW w:w="0" w:type="auto"/>
            <w:shd w:val="clear" w:color="auto" w:fill="auto"/>
          </w:tcPr>
          <w:p w:rsidR="00375491" w:rsidRPr="00375491" w:rsidRDefault="00375491" w:rsidP="00375491">
            <w:pPr>
              <w:pStyle w:val="ListParagraph"/>
              <w:ind w:left="360"/>
            </w:pPr>
          </w:p>
        </w:tc>
        <w:tc>
          <w:tcPr>
            <w:tcW w:w="0" w:type="auto"/>
            <w:shd w:val="clear" w:color="auto" w:fill="auto"/>
          </w:tcPr>
          <w:p w:rsidR="00375491" w:rsidRPr="00375491" w:rsidRDefault="00375491" w:rsidP="00375491">
            <w:pPr>
              <w:pStyle w:val="ListParagraph"/>
              <w:ind w:left="360"/>
            </w:pPr>
            <w:r w:rsidRPr="00375491">
              <w:t>Attend APB meetings, reporting on a range of issues that enables the APB to make informed decisions</w:t>
            </w:r>
          </w:p>
          <w:p w:rsidR="00375491" w:rsidRPr="00375491" w:rsidRDefault="00375491" w:rsidP="00375491">
            <w:pPr>
              <w:pStyle w:val="ListParagraph"/>
              <w:ind w:left="360"/>
            </w:pPr>
          </w:p>
        </w:tc>
        <w:tc>
          <w:tcPr>
            <w:tcW w:w="0" w:type="auto"/>
            <w:shd w:val="clear" w:color="auto" w:fill="auto"/>
          </w:tcPr>
          <w:p w:rsidR="00375491" w:rsidRPr="00375491" w:rsidRDefault="00375491" w:rsidP="00375491">
            <w:pPr>
              <w:pStyle w:val="ListParagraph"/>
              <w:ind w:left="360"/>
            </w:pPr>
            <w:r w:rsidRPr="00375491">
              <w:t>Steve Adie/ Julia Jenkins</w:t>
            </w:r>
          </w:p>
        </w:tc>
        <w:tc>
          <w:tcPr>
            <w:tcW w:w="0" w:type="auto"/>
            <w:shd w:val="clear" w:color="auto" w:fill="auto"/>
          </w:tcPr>
          <w:p w:rsidR="00375491" w:rsidRPr="00375491" w:rsidRDefault="00375491" w:rsidP="00375491">
            <w:pPr>
              <w:pStyle w:val="ListParagraph"/>
              <w:ind w:left="360"/>
            </w:pPr>
            <w:r w:rsidRPr="00375491">
              <w:t>Quarterly</w:t>
            </w:r>
          </w:p>
        </w:tc>
        <w:tc>
          <w:tcPr>
            <w:tcW w:w="0" w:type="auto"/>
            <w:shd w:val="clear" w:color="auto" w:fill="00B050"/>
          </w:tcPr>
          <w:p w:rsidR="00375491" w:rsidRPr="00375491" w:rsidRDefault="00375491" w:rsidP="00375491">
            <w:pPr>
              <w:pStyle w:val="ListParagraph"/>
              <w:ind w:left="360"/>
            </w:pPr>
            <w:r w:rsidRPr="00375491">
              <w:t>Quarterly</w:t>
            </w:r>
          </w:p>
        </w:tc>
      </w:tr>
      <w:tr w:rsidR="00375491" w:rsidRPr="00375491" w:rsidTr="00375491">
        <w:tc>
          <w:tcPr>
            <w:tcW w:w="0" w:type="auto"/>
            <w:shd w:val="clear" w:color="auto" w:fill="auto"/>
          </w:tcPr>
          <w:p w:rsidR="00375491" w:rsidRPr="00375491" w:rsidRDefault="00375491" w:rsidP="00375491">
            <w:pPr>
              <w:pStyle w:val="ListParagraph"/>
              <w:ind w:left="360"/>
            </w:pPr>
          </w:p>
        </w:tc>
        <w:tc>
          <w:tcPr>
            <w:tcW w:w="0" w:type="auto"/>
            <w:shd w:val="clear" w:color="auto" w:fill="auto"/>
          </w:tcPr>
          <w:p w:rsidR="00375491" w:rsidRPr="00375491" w:rsidRDefault="00375491" w:rsidP="00375491">
            <w:pPr>
              <w:pStyle w:val="ListParagraph"/>
              <w:ind w:left="360"/>
            </w:pPr>
            <w:r w:rsidRPr="00375491">
              <w:t>Attend regional leads meetings</w:t>
            </w:r>
          </w:p>
        </w:tc>
        <w:tc>
          <w:tcPr>
            <w:tcW w:w="0" w:type="auto"/>
            <w:shd w:val="clear" w:color="auto" w:fill="auto"/>
          </w:tcPr>
          <w:p w:rsidR="00375491" w:rsidRPr="00375491" w:rsidRDefault="00375491" w:rsidP="00375491">
            <w:pPr>
              <w:pStyle w:val="ListParagraph"/>
              <w:ind w:left="360"/>
            </w:pPr>
            <w:r w:rsidRPr="00375491">
              <w:t>Steve Adie</w:t>
            </w:r>
          </w:p>
        </w:tc>
        <w:tc>
          <w:tcPr>
            <w:tcW w:w="0" w:type="auto"/>
            <w:shd w:val="clear" w:color="auto" w:fill="auto"/>
          </w:tcPr>
          <w:p w:rsidR="00375491" w:rsidRPr="00375491" w:rsidRDefault="00375491" w:rsidP="00375491">
            <w:pPr>
              <w:pStyle w:val="ListParagraph"/>
              <w:ind w:left="360"/>
            </w:pPr>
            <w:r w:rsidRPr="00375491">
              <w:t>Quarterly</w:t>
            </w:r>
          </w:p>
        </w:tc>
        <w:tc>
          <w:tcPr>
            <w:tcW w:w="0" w:type="auto"/>
            <w:shd w:val="clear" w:color="auto" w:fill="00B050"/>
          </w:tcPr>
          <w:p w:rsidR="00375491" w:rsidRPr="00375491" w:rsidRDefault="00375491" w:rsidP="00375491">
            <w:pPr>
              <w:pStyle w:val="ListParagraph"/>
              <w:ind w:left="360"/>
            </w:pPr>
            <w:r w:rsidRPr="00375491">
              <w:t>Quarterly</w:t>
            </w:r>
          </w:p>
        </w:tc>
      </w:tr>
      <w:tr w:rsidR="00DB2AC6" w:rsidRPr="00375491" w:rsidTr="0073391F">
        <w:tc>
          <w:tcPr>
            <w:tcW w:w="0" w:type="auto"/>
            <w:gridSpan w:val="5"/>
            <w:shd w:val="clear" w:color="auto" w:fill="D9D9D9"/>
          </w:tcPr>
          <w:p w:rsidR="00DB2AC6" w:rsidRPr="00375491" w:rsidRDefault="00DB2AC6" w:rsidP="00375491">
            <w:pPr>
              <w:pStyle w:val="ListParagraph"/>
              <w:ind w:left="360"/>
            </w:pPr>
            <w:r w:rsidRPr="00375491">
              <w:rPr>
                <w:b/>
              </w:rPr>
              <w:t>Risks</w:t>
            </w:r>
          </w:p>
        </w:tc>
      </w:tr>
      <w:tr w:rsidR="00375491" w:rsidRPr="00375491" w:rsidTr="00375491">
        <w:tc>
          <w:tcPr>
            <w:tcW w:w="0" w:type="auto"/>
            <w:shd w:val="clear" w:color="auto" w:fill="auto"/>
          </w:tcPr>
          <w:p w:rsidR="00375491" w:rsidRPr="00375491" w:rsidRDefault="00375491" w:rsidP="00375491">
            <w:pPr>
              <w:pStyle w:val="ListParagraph"/>
              <w:ind w:left="360"/>
            </w:pPr>
            <w:r w:rsidRPr="00375491">
              <w:t>To identify and mitigate risks wherever possible</w:t>
            </w:r>
          </w:p>
        </w:tc>
        <w:tc>
          <w:tcPr>
            <w:tcW w:w="0" w:type="auto"/>
            <w:shd w:val="clear" w:color="auto" w:fill="auto"/>
          </w:tcPr>
          <w:p w:rsidR="00375491" w:rsidRPr="00375491" w:rsidRDefault="00375491" w:rsidP="00375491">
            <w:pPr>
              <w:pStyle w:val="ListParagraph"/>
              <w:ind w:left="360"/>
            </w:pPr>
            <w:r w:rsidRPr="00375491">
              <w:t>Finalise S.33 Agreement</w:t>
            </w:r>
          </w:p>
          <w:p w:rsidR="00375491" w:rsidRPr="00375491" w:rsidRDefault="00375491" w:rsidP="00375491">
            <w:pPr>
              <w:pStyle w:val="ListParagraph"/>
              <w:ind w:left="360"/>
            </w:pPr>
          </w:p>
          <w:p w:rsidR="00375491" w:rsidRPr="00375491" w:rsidRDefault="00375491" w:rsidP="00375491">
            <w:pPr>
              <w:pStyle w:val="ListParagraph"/>
              <w:ind w:left="360"/>
            </w:pPr>
          </w:p>
        </w:tc>
        <w:tc>
          <w:tcPr>
            <w:tcW w:w="0" w:type="auto"/>
            <w:shd w:val="clear" w:color="auto" w:fill="auto"/>
          </w:tcPr>
          <w:p w:rsidR="00375491" w:rsidRPr="00375491" w:rsidRDefault="00375491" w:rsidP="00375491">
            <w:pPr>
              <w:pStyle w:val="ListParagraph"/>
              <w:ind w:left="360"/>
            </w:pPr>
            <w:r w:rsidRPr="00375491">
              <w:t>Steve Adie</w:t>
            </w:r>
          </w:p>
        </w:tc>
        <w:tc>
          <w:tcPr>
            <w:tcW w:w="0" w:type="auto"/>
            <w:shd w:val="clear" w:color="auto" w:fill="auto"/>
          </w:tcPr>
          <w:p w:rsidR="00375491" w:rsidRPr="00375491" w:rsidRDefault="00375491" w:rsidP="00375491">
            <w:pPr>
              <w:pStyle w:val="ListParagraph"/>
              <w:ind w:left="360"/>
            </w:pPr>
            <w:r w:rsidRPr="00375491">
              <w:t>July 2016</w:t>
            </w:r>
          </w:p>
        </w:tc>
        <w:tc>
          <w:tcPr>
            <w:tcW w:w="0" w:type="auto"/>
            <w:shd w:val="clear" w:color="auto" w:fill="E36C0A"/>
          </w:tcPr>
          <w:p w:rsidR="00375491" w:rsidRPr="00375491" w:rsidRDefault="00375491" w:rsidP="00375491">
            <w:pPr>
              <w:pStyle w:val="ListParagraph"/>
              <w:ind w:left="360"/>
            </w:pPr>
            <w:r w:rsidRPr="00375491">
              <w:t>S.33 now drafted and has been circulated to the concerned partners for comment</w:t>
            </w:r>
          </w:p>
        </w:tc>
      </w:tr>
      <w:tr w:rsidR="00375491" w:rsidRPr="00375491" w:rsidTr="00375491">
        <w:tc>
          <w:tcPr>
            <w:tcW w:w="0" w:type="auto"/>
            <w:shd w:val="clear" w:color="auto" w:fill="auto"/>
          </w:tcPr>
          <w:p w:rsidR="00375491" w:rsidRPr="00375491" w:rsidRDefault="00375491" w:rsidP="00375491">
            <w:pPr>
              <w:pStyle w:val="ListParagraph"/>
              <w:ind w:left="360"/>
            </w:pPr>
          </w:p>
        </w:tc>
        <w:tc>
          <w:tcPr>
            <w:tcW w:w="0" w:type="auto"/>
            <w:shd w:val="clear" w:color="auto" w:fill="auto"/>
          </w:tcPr>
          <w:p w:rsidR="00375491" w:rsidRPr="00375491" w:rsidRDefault="00375491" w:rsidP="00375491">
            <w:pPr>
              <w:pStyle w:val="ListParagraph"/>
              <w:ind w:left="360"/>
            </w:pPr>
            <w:r w:rsidRPr="00375491">
              <w:t>Review APB Risk Register</w:t>
            </w:r>
          </w:p>
        </w:tc>
        <w:tc>
          <w:tcPr>
            <w:tcW w:w="0" w:type="auto"/>
            <w:shd w:val="clear" w:color="auto" w:fill="auto"/>
          </w:tcPr>
          <w:p w:rsidR="00375491" w:rsidRPr="00375491" w:rsidRDefault="00375491" w:rsidP="00375491">
            <w:pPr>
              <w:pStyle w:val="ListParagraph"/>
              <w:ind w:left="360"/>
            </w:pPr>
            <w:r w:rsidRPr="00375491">
              <w:t>Steve Adie/ Julia Jenkins</w:t>
            </w:r>
          </w:p>
        </w:tc>
        <w:tc>
          <w:tcPr>
            <w:tcW w:w="0" w:type="auto"/>
            <w:shd w:val="clear" w:color="auto" w:fill="auto"/>
          </w:tcPr>
          <w:p w:rsidR="00375491" w:rsidRPr="00375491" w:rsidRDefault="00375491" w:rsidP="00375491">
            <w:pPr>
              <w:pStyle w:val="ListParagraph"/>
              <w:ind w:left="360"/>
            </w:pPr>
            <w:r w:rsidRPr="00375491">
              <w:t>Annually</w:t>
            </w:r>
          </w:p>
        </w:tc>
        <w:tc>
          <w:tcPr>
            <w:tcW w:w="0" w:type="auto"/>
            <w:shd w:val="clear" w:color="auto" w:fill="00B050"/>
          </w:tcPr>
          <w:p w:rsidR="00375491" w:rsidRPr="00375491" w:rsidRDefault="00375491" w:rsidP="00375491">
            <w:pPr>
              <w:pStyle w:val="ListParagraph"/>
              <w:ind w:left="360"/>
            </w:pPr>
            <w:r w:rsidRPr="00375491">
              <w:t>Risk register forms part of the Governance Framework</w:t>
            </w:r>
          </w:p>
        </w:tc>
      </w:tr>
      <w:tr w:rsidR="00375491" w:rsidRPr="00375491" w:rsidTr="00375491">
        <w:tc>
          <w:tcPr>
            <w:tcW w:w="0" w:type="auto"/>
            <w:shd w:val="clear" w:color="auto" w:fill="auto"/>
          </w:tcPr>
          <w:p w:rsidR="00375491" w:rsidRPr="00375491" w:rsidRDefault="00375491" w:rsidP="00375491">
            <w:pPr>
              <w:pStyle w:val="ListParagraph"/>
              <w:ind w:left="360"/>
            </w:pPr>
          </w:p>
        </w:tc>
        <w:tc>
          <w:tcPr>
            <w:tcW w:w="0" w:type="auto"/>
            <w:shd w:val="clear" w:color="auto" w:fill="auto"/>
          </w:tcPr>
          <w:p w:rsidR="00375491" w:rsidRPr="00375491" w:rsidRDefault="00375491" w:rsidP="00375491">
            <w:pPr>
              <w:pStyle w:val="ListParagraph"/>
              <w:ind w:left="360"/>
            </w:pPr>
            <w:r w:rsidRPr="00375491">
              <w:t>To obtain assurances in relation to historic capital estates issues</w:t>
            </w:r>
          </w:p>
        </w:tc>
        <w:tc>
          <w:tcPr>
            <w:tcW w:w="0" w:type="auto"/>
            <w:shd w:val="clear" w:color="auto" w:fill="auto"/>
          </w:tcPr>
          <w:p w:rsidR="00375491" w:rsidRPr="00375491" w:rsidRDefault="00375491" w:rsidP="00375491">
            <w:pPr>
              <w:pStyle w:val="ListParagraph"/>
              <w:ind w:left="360"/>
            </w:pPr>
            <w:r w:rsidRPr="00375491">
              <w:t>Steve Adie/Julia Jenkins</w:t>
            </w:r>
          </w:p>
        </w:tc>
        <w:tc>
          <w:tcPr>
            <w:tcW w:w="0" w:type="auto"/>
            <w:shd w:val="clear" w:color="auto" w:fill="auto"/>
          </w:tcPr>
          <w:p w:rsidR="00375491" w:rsidRPr="00375491" w:rsidRDefault="00375491" w:rsidP="00375491">
            <w:pPr>
              <w:pStyle w:val="ListParagraph"/>
              <w:ind w:left="360"/>
            </w:pPr>
            <w:r w:rsidRPr="00375491">
              <w:t>June 2016</w:t>
            </w:r>
          </w:p>
        </w:tc>
        <w:tc>
          <w:tcPr>
            <w:tcW w:w="0" w:type="auto"/>
            <w:shd w:val="clear" w:color="auto" w:fill="E36C0A"/>
          </w:tcPr>
          <w:p w:rsidR="00375491" w:rsidRPr="00375491" w:rsidRDefault="00375491" w:rsidP="00375491">
            <w:pPr>
              <w:pStyle w:val="ListParagraph"/>
              <w:ind w:left="360"/>
            </w:pPr>
            <w:r w:rsidRPr="00375491">
              <w:t>There are 2 issues still outstanding. Contact has been made with the relevant organisations.</w:t>
            </w:r>
          </w:p>
        </w:tc>
      </w:tr>
      <w:tr w:rsidR="00DB2AC6" w:rsidRPr="00375491" w:rsidTr="0073391F">
        <w:tc>
          <w:tcPr>
            <w:tcW w:w="0" w:type="auto"/>
            <w:gridSpan w:val="5"/>
            <w:shd w:val="clear" w:color="auto" w:fill="D9D9D9"/>
          </w:tcPr>
          <w:p w:rsidR="00DB2AC6" w:rsidRPr="00375491" w:rsidRDefault="00DB2AC6" w:rsidP="00375491">
            <w:pPr>
              <w:pStyle w:val="ListParagraph"/>
              <w:ind w:left="360"/>
            </w:pPr>
            <w:r w:rsidRPr="00375491">
              <w:rPr>
                <w:b/>
              </w:rPr>
              <w:t>Commissioning</w:t>
            </w:r>
          </w:p>
        </w:tc>
      </w:tr>
      <w:tr w:rsidR="00375491" w:rsidRPr="00375491" w:rsidTr="00375491">
        <w:tc>
          <w:tcPr>
            <w:tcW w:w="0" w:type="auto"/>
            <w:shd w:val="clear" w:color="auto" w:fill="auto"/>
          </w:tcPr>
          <w:p w:rsidR="00375491" w:rsidRPr="00375491" w:rsidRDefault="00375491" w:rsidP="00375491">
            <w:pPr>
              <w:pStyle w:val="ListParagraph"/>
              <w:ind w:left="360"/>
            </w:pPr>
            <w:r w:rsidRPr="00375491">
              <w:t>To develop and implement a regional commissioning strategy for substance misuse services</w:t>
            </w:r>
          </w:p>
        </w:tc>
        <w:tc>
          <w:tcPr>
            <w:tcW w:w="0" w:type="auto"/>
            <w:shd w:val="clear" w:color="auto" w:fill="auto"/>
          </w:tcPr>
          <w:p w:rsidR="00375491" w:rsidRPr="00375491" w:rsidRDefault="00375491" w:rsidP="00375491">
            <w:pPr>
              <w:pStyle w:val="ListParagraph"/>
              <w:ind w:left="360"/>
            </w:pPr>
            <w:r w:rsidRPr="00375491">
              <w:t>To agree a regional commissioning strategy for the Western Bay APB</w:t>
            </w:r>
          </w:p>
        </w:tc>
        <w:tc>
          <w:tcPr>
            <w:tcW w:w="0" w:type="auto"/>
            <w:shd w:val="clear" w:color="auto" w:fill="auto"/>
          </w:tcPr>
          <w:p w:rsidR="00375491" w:rsidRPr="00375491" w:rsidRDefault="00375491" w:rsidP="00375491">
            <w:pPr>
              <w:pStyle w:val="ListParagraph"/>
              <w:ind w:left="360"/>
            </w:pPr>
            <w:r w:rsidRPr="00375491">
              <w:t>Steve Adie</w:t>
            </w:r>
          </w:p>
        </w:tc>
        <w:tc>
          <w:tcPr>
            <w:tcW w:w="0" w:type="auto"/>
            <w:shd w:val="clear" w:color="auto" w:fill="auto"/>
          </w:tcPr>
          <w:p w:rsidR="00375491" w:rsidRPr="00375491" w:rsidRDefault="00375491" w:rsidP="00375491">
            <w:pPr>
              <w:pStyle w:val="ListParagraph"/>
              <w:ind w:left="360"/>
            </w:pPr>
            <w:r w:rsidRPr="00375491">
              <w:t>April 2016</w:t>
            </w:r>
          </w:p>
        </w:tc>
        <w:tc>
          <w:tcPr>
            <w:tcW w:w="0" w:type="auto"/>
            <w:tcBorders>
              <w:bottom w:val="single" w:sz="4" w:space="0" w:color="auto"/>
            </w:tcBorders>
            <w:shd w:val="clear" w:color="auto" w:fill="00B050"/>
          </w:tcPr>
          <w:p w:rsidR="00375491" w:rsidRPr="00375491" w:rsidRDefault="00375491" w:rsidP="00375491">
            <w:pPr>
              <w:pStyle w:val="ListParagraph"/>
              <w:ind w:left="360"/>
            </w:pPr>
            <w:r w:rsidRPr="00375491">
              <w:t>Complete</w:t>
            </w:r>
          </w:p>
        </w:tc>
      </w:tr>
      <w:tr w:rsidR="00375491" w:rsidRPr="00375491" w:rsidTr="00375491">
        <w:trPr>
          <w:trHeight w:val="1255"/>
        </w:trPr>
        <w:tc>
          <w:tcPr>
            <w:tcW w:w="0" w:type="auto"/>
            <w:shd w:val="clear" w:color="auto" w:fill="auto"/>
          </w:tcPr>
          <w:p w:rsidR="00375491" w:rsidRPr="00375491" w:rsidRDefault="00375491" w:rsidP="00375491">
            <w:pPr>
              <w:pStyle w:val="ListParagraph"/>
              <w:ind w:left="360"/>
            </w:pPr>
          </w:p>
          <w:p w:rsidR="00375491" w:rsidRPr="00375491" w:rsidRDefault="00375491" w:rsidP="00375491">
            <w:pPr>
              <w:pStyle w:val="ListParagraph"/>
              <w:ind w:left="360"/>
            </w:pPr>
          </w:p>
          <w:p w:rsidR="00375491" w:rsidRPr="00375491" w:rsidRDefault="00375491" w:rsidP="00375491">
            <w:pPr>
              <w:pStyle w:val="ListParagraph"/>
              <w:ind w:left="360"/>
            </w:pPr>
          </w:p>
          <w:p w:rsidR="00375491" w:rsidRPr="00375491" w:rsidRDefault="00375491" w:rsidP="00375491">
            <w:pPr>
              <w:pStyle w:val="ListParagraph"/>
              <w:ind w:left="360"/>
            </w:pPr>
          </w:p>
        </w:tc>
        <w:tc>
          <w:tcPr>
            <w:tcW w:w="0" w:type="auto"/>
            <w:shd w:val="clear" w:color="auto" w:fill="auto"/>
          </w:tcPr>
          <w:p w:rsidR="00375491" w:rsidRPr="00375491" w:rsidRDefault="00375491" w:rsidP="00375491">
            <w:pPr>
              <w:pStyle w:val="ListParagraph"/>
              <w:ind w:left="360"/>
            </w:pPr>
            <w:r w:rsidRPr="00375491">
              <w:t>Commission new regional services.</w:t>
            </w:r>
          </w:p>
        </w:tc>
        <w:tc>
          <w:tcPr>
            <w:tcW w:w="0" w:type="auto"/>
            <w:shd w:val="clear" w:color="auto" w:fill="auto"/>
          </w:tcPr>
          <w:p w:rsidR="00375491" w:rsidRPr="00375491" w:rsidRDefault="00375491" w:rsidP="00375491">
            <w:pPr>
              <w:pStyle w:val="ListParagraph"/>
              <w:ind w:left="360"/>
            </w:pPr>
            <w:r w:rsidRPr="00375491">
              <w:t>Steve Adie</w:t>
            </w:r>
          </w:p>
        </w:tc>
        <w:tc>
          <w:tcPr>
            <w:tcW w:w="0" w:type="auto"/>
            <w:shd w:val="clear" w:color="auto" w:fill="auto"/>
          </w:tcPr>
          <w:p w:rsidR="00375491" w:rsidRPr="00375491" w:rsidRDefault="00375491" w:rsidP="00375491">
            <w:pPr>
              <w:pStyle w:val="ListParagraph"/>
              <w:ind w:left="360"/>
            </w:pPr>
            <w:r w:rsidRPr="00375491">
              <w:t>April 2017</w:t>
            </w:r>
          </w:p>
        </w:tc>
        <w:tc>
          <w:tcPr>
            <w:tcW w:w="0" w:type="auto"/>
            <w:shd w:val="clear" w:color="auto" w:fill="FF0000"/>
          </w:tcPr>
          <w:p w:rsidR="00375491" w:rsidRPr="00375491" w:rsidRDefault="00375491" w:rsidP="00375491">
            <w:pPr>
              <w:pStyle w:val="ListParagraph"/>
              <w:ind w:left="360"/>
            </w:pPr>
            <w:r w:rsidRPr="00375491">
              <w:t>The commissioning process will start in January 2017 with new services to commence in April 2018</w:t>
            </w:r>
          </w:p>
        </w:tc>
      </w:tr>
      <w:tr w:rsidR="00DB2AC6" w:rsidRPr="00375491" w:rsidTr="0073391F">
        <w:tc>
          <w:tcPr>
            <w:tcW w:w="0" w:type="auto"/>
            <w:gridSpan w:val="5"/>
            <w:shd w:val="clear" w:color="auto" w:fill="D9D9D9"/>
          </w:tcPr>
          <w:p w:rsidR="00DB2AC6" w:rsidRPr="00375491" w:rsidRDefault="00DB2AC6" w:rsidP="00375491">
            <w:pPr>
              <w:pStyle w:val="ListParagraph"/>
              <w:ind w:left="360"/>
            </w:pPr>
            <w:r w:rsidRPr="00375491">
              <w:rPr>
                <w:b/>
              </w:rPr>
              <w:t>Performance</w:t>
            </w:r>
          </w:p>
        </w:tc>
      </w:tr>
      <w:tr w:rsidR="00375491" w:rsidRPr="00375491" w:rsidTr="00375491">
        <w:tc>
          <w:tcPr>
            <w:tcW w:w="0" w:type="auto"/>
            <w:vMerge w:val="restart"/>
            <w:shd w:val="clear" w:color="auto" w:fill="auto"/>
          </w:tcPr>
          <w:p w:rsidR="00375491" w:rsidRPr="00375491" w:rsidRDefault="00375491" w:rsidP="00375491">
            <w:pPr>
              <w:pStyle w:val="ListParagraph"/>
              <w:ind w:left="360"/>
            </w:pPr>
            <w:r w:rsidRPr="00375491">
              <w:t>To ensure that service providers are providing good quality services in line with the core standards. In addition to ensure that performance is maintained or improved for the NKPI’s</w:t>
            </w:r>
          </w:p>
        </w:tc>
        <w:tc>
          <w:tcPr>
            <w:tcW w:w="0" w:type="auto"/>
            <w:shd w:val="clear" w:color="auto" w:fill="auto"/>
          </w:tcPr>
          <w:p w:rsidR="00375491" w:rsidRPr="00375491" w:rsidRDefault="00375491" w:rsidP="00375491">
            <w:pPr>
              <w:pStyle w:val="ListParagraph"/>
              <w:ind w:left="360"/>
            </w:pPr>
            <w:r w:rsidRPr="00375491">
              <w:t>Conduct service provider monitoring visits.</w:t>
            </w:r>
          </w:p>
        </w:tc>
        <w:tc>
          <w:tcPr>
            <w:tcW w:w="0" w:type="auto"/>
            <w:shd w:val="clear" w:color="auto" w:fill="auto"/>
          </w:tcPr>
          <w:p w:rsidR="00375491" w:rsidRPr="00375491" w:rsidRDefault="00375491" w:rsidP="00375491">
            <w:pPr>
              <w:pStyle w:val="ListParagraph"/>
              <w:ind w:left="360"/>
            </w:pPr>
            <w:r w:rsidRPr="00375491">
              <w:t>Carl Williams</w:t>
            </w:r>
          </w:p>
        </w:tc>
        <w:tc>
          <w:tcPr>
            <w:tcW w:w="0" w:type="auto"/>
            <w:shd w:val="clear" w:color="auto" w:fill="auto"/>
          </w:tcPr>
          <w:p w:rsidR="00375491" w:rsidRPr="00375491" w:rsidRDefault="00375491" w:rsidP="00375491">
            <w:pPr>
              <w:pStyle w:val="ListParagraph"/>
              <w:ind w:left="360"/>
            </w:pPr>
            <w:r w:rsidRPr="00375491">
              <w:t>Quarterly</w:t>
            </w:r>
          </w:p>
        </w:tc>
        <w:tc>
          <w:tcPr>
            <w:tcW w:w="0" w:type="auto"/>
            <w:shd w:val="clear" w:color="auto" w:fill="00B050"/>
          </w:tcPr>
          <w:p w:rsidR="00375491" w:rsidRPr="00375491" w:rsidRDefault="00375491" w:rsidP="00375491">
            <w:pPr>
              <w:pStyle w:val="ListParagraph"/>
              <w:ind w:left="360"/>
            </w:pPr>
            <w:r w:rsidRPr="00375491">
              <w:t>Established system of monitoring in place</w:t>
            </w:r>
          </w:p>
        </w:tc>
      </w:tr>
      <w:tr w:rsidR="00375491" w:rsidRPr="00375491" w:rsidTr="00375491">
        <w:tc>
          <w:tcPr>
            <w:tcW w:w="0" w:type="auto"/>
            <w:vMerge/>
            <w:shd w:val="clear" w:color="auto" w:fill="auto"/>
          </w:tcPr>
          <w:p w:rsidR="00375491" w:rsidRPr="00375491" w:rsidRDefault="00375491" w:rsidP="00375491">
            <w:pPr>
              <w:pStyle w:val="ListParagraph"/>
              <w:ind w:left="360"/>
            </w:pPr>
          </w:p>
        </w:tc>
        <w:tc>
          <w:tcPr>
            <w:tcW w:w="0" w:type="auto"/>
            <w:shd w:val="clear" w:color="auto" w:fill="auto"/>
          </w:tcPr>
          <w:p w:rsidR="00375491" w:rsidRPr="00375491" w:rsidRDefault="00375491" w:rsidP="00375491">
            <w:pPr>
              <w:pStyle w:val="ListParagraph"/>
              <w:ind w:left="360"/>
            </w:pPr>
            <w:r w:rsidRPr="00375491">
              <w:t xml:space="preserve">Address poor performance where required. </w:t>
            </w:r>
          </w:p>
        </w:tc>
        <w:tc>
          <w:tcPr>
            <w:tcW w:w="0" w:type="auto"/>
            <w:shd w:val="clear" w:color="auto" w:fill="auto"/>
          </w:tcPr>
          <w:p w:rsidR="00375491" w:rsidRPr="00375491" w:rsidRDefault="00375491" w:rsidP="00375491">
            <w:pPr>
              <w:pStyle w:val="ListParagraph"/>
              <w:ind w:left="360"/>
            </w:pPr>
            <w:r w:rsidRPr="00375491">
              <w:t>Carl Williams</w:t>
            </w:r>
          </w:p>
        </w:tc>
        <w:tc>
          <w:tcPr>
            <w:tcW w:w="0" w:type="auto"/>
            <w:shd w:val="clear" w:color="auto" w:fill="auto"/>
          </w:tcPr>
          <w:p w:rsidR="00375491" w:rsidRPr="00375491" w:rsidRDefault="00375491" w:rsidP="00375491">
            <w:pPr>
              <w:pStyle w:val="ListParagraph"/>
              <w:ind w:left="360"/>
            </w:pPr>
            <w:r w:rsidRPr="00375491">
              <w:t>Quarterly</w:t>
            </w:r>
          </w:p>
        </w:tc>
        <w:tc>
          <w:tcPr>
            <w:tcW w:w="0" w:type="auto"/>
            <w:shd w:val="clear" w:color="auto" w:fill="00B050"/>
          </w:tcPr>
          <w:p w:rsidR="00375491" w:rsidRPr="00375491" w:rsidRDefault="00375491" w:rsidP="00375491">
            <w:pPr>
              <w:pStyle w:val="ListParagraph"/>
              <w:ind w:left="360"/>
            </w:pPr>
            <w:r w:rsidRPr="00375491">
              <w:t xml:space="preserve">Monitoring is ongoing in accordance with quarterly claim periods. </w:t>
            </w:r>
          </w:p>
        </w:tc>
      </w:tr>
      <w:tr w:rsidR="00375491" w:rsidRPr="00375491" w:rsidTr="00375491">
        <w:tc>
          <w:tcPr>
            <w:tcW w:w="0" w:type="auto"/>
            <w:shd w:val="clear" w:color="auto" w:fill="auto"/>
          </w:tcPr>
          <w:p w:rsidR="00375491" w:rsidRPr="00375491" w:rsidRDefault="00375491" w:rsidP="00375491">
            <w:pPr>
              <w:pStyle w:val="ListParagraph"/>
              <w:ind w:left="360"/>
            </w:pPr>
          </w:p>
        </w:tc>
        <w:tc>
          <w:tcPr>
            <w:tcW w:w="0" w:type="auto"/>
            <w:shd w:val="clear" w:color="auto" w:fill="auto"/>
          </w:tcPr>
          <w:p w:rsidR="00375491" w:rsidRPr="00375491" w:rsidRDefault="00375491" w:rsidP="00375491">
            <w:pPr>
              <w:pStyle w:val="ListParagraph"/>
              <w:ind w:left="360"/>
            </w:pPr>
            <w:r w:rsidRPr="00375491">
              <w:t xml:space="preserve">Continue to monitor national KPIs and improve performance </w:t>
            </w:r>
          </w:p>
        </w:tc>
        <w:tc>
          <w:tcPr>
            <w:tcW w:w="0" w:type="auto"/>
            <w:shd w:val="clear" w:color="auto" w:fill="auto"/>
          </w:tcPr>
          <w:p w:rsidR="00375491" w:rsidRPr="00375491" w:rsidRDefault="00375491" w:rsidP="00375491">
            <w:pPr>
              <w:pStyle w:val="ListParagraph"/>
              <w:ind w:left="360"/>
            </w:pPr>
            <w:r w:rsidRPr="00375491">
              <w:t>Simon Giles</w:t>
            </w:r>
          </w:p>
        </w:tc>
        <w:tc>
          <w:tcPr>
            <w:tcW w:w="0" w:type="auto"/>
            <w:shd w:val="clear" w:color="auto" w:fill="auto"/>
          </w:tcPr>
          <w:p w:rsidR="00375491" w:rsidRPr="00375491" w:rsidRDefault="00375491" w:rsidP="00375491">
            <w:pPr>
              <w:pStyle w:val="ListParagraph"/>
              <w:ind w:left="360"/>
            </w:pPr>
            <w:r w:rsidRPr="00375491">
              <w:t>Monthly</w:t>
            </w:r>
          </w:p>
        </w:tc>
        <w:tc>
          <w:tcPr>
            <w:tcW w:w="0" w:type="auto"/>
            <w:shd w:val="clear" w:color="auto" w:fill="00B050"/>
          </w:tcPr>
          <w:p w:rsidR="00375491" w:rsidRPr="00375491" w:rsidRDefault="00375491" w:rsidP="00375491">
            <w:pPr>
              <w:pStyle w:val="ListParagraph"/>
              <w:ind w:left="360"/>
            </w:pPr>
            <w:r w:rsidRPr="00375491">
              <w:t>Monthly</w:t>
            </w:r>
          </w:p>
        </w:tc>
      </w:tr>
      <w:tr w:rsidR="00375491" w:rsidRPr="00375491" w:rsidTr="00375491">
        <w:tc>
          <w:tcPr>
            <w:tcW w:w="0" w:type="auto"/>
            <w:shd w:val="clear" w:color="auto" w:fill="auto"/>
          </w:tcPr>
          <w:p w:rsidR="00375491" w:rsidRPr="00375491" w:rsidRDefault="00375491" w:rsidP="00375491">
            <w:pPr>
              <w:pStyle w:val="ListParagraph"/>
              <w:ind w:left="360"/>
            </w:pPr>
          </w:p>
        </w:tc>
        <w:tc>
          <w:tcPr>
            <w:tcW w:w="0" w:type="auto"/>
            <w:shd w:val="clear" w:color="auto" w:fill="auto"/>
          </w:tcPr>
          <w:p w:rsidR="00375491" w:rsidRPr="00375491" w:rsidRDefault="00375491" w:rsidP="00375491">
            <w:pPr>
              <w:pStyle w:val="ListParagraph"/>
              <w:ind w:left="360"/>
            </w:pPr>
            <w:r w:rsidRPr="00375491">
              <w:t>Maintain performance on NKPI’S 2, 3, and 4 and improve performance for NKPI’s 1 and 5 – via the KPI Data Information Group.</w:t>
            </w:r>
          </w:p>
        </w:tc>
        <w:tc>
          <w:tcPr>
            <w:tcW w:w="0" w:type="auto"/>
            <w:shd w:val="clear" w:color="auto" w:fill="auto"/>
          </w:tcPr>
          <w:p w:rsidR="00375491" w:rsidRPr="00375491" w:rsidRDefault="00375491" w:rsidP="00375491">
            <w:pPr>
              <w:pStyle w:val="ListParagraph"/>
              <w:ind w:left="360"/>
            </w:pPr>
            <w:r w:rsidRPr="00375491">
              <w:t>Steve Adie/KPI Data Information Group</w:t>
            </w:r>
          </w:p>
        </w:tc>
        <w:tc>
          <w:tcPr>
            <w:tcW w:w="0" w:type="auto"/>
            <w:shd w:val="clear" w:color="auto" w:fill="auto"/>
          </w:tcPr>
          <w:p w:rsidR="00375491" w:rsidRPr="00375491" w:rsidRDefault="00375491" w:rsidP="00375491">
            <w:pPr>
              <w:pStyle w:val="ListParagraph"/>
              <w:ind w:left="360"/>
            </w:pPr>
            <w:r w:rsidRPr="00375491">
              <w:t>Ongoing</w:t>
            </w:r>
          </w:p>
        </w:tc>
        <w:tc>
          <w:tcPr>
            <w:tcW w:w="0" w:type="auto"/>
            <w:shd w:val="clear" w:color="auto" w:fill="00B050"/>
          </w:tcPr>
          <w:p w:rsidR="00375491" w:rsidRPr="00375491" w:rsidRDefault="00375491" w:rsidP="00375491">
            <w:pPr>
              <w:pStyle w:val="ListParagraph"/>
              <w:ind w:left="360"/>
            </w:pPr>
            <w:r w:rsidRPr="00375491">
              <w:t>Ongoing</w:t>
            </w:r>
          </w:p>
        </w:tc>
      </w:tr>
      <w:tr w:rsidR="00375491" w:rsidRPr="00375491" w:rsidTr="00375491">
        <w:tc>
          <w:tcPr>
            <w:tcW w:w="0" w:type="auto"/>
            <w:shd w:val="clear" w:color="auto" w:fill="auto"/>
          </w:tcPr>
          <w:p w:rsidR="00375491" w:rsidRPr="00375491" w:rsidRDefault="00375491" w:rsidP="00375491">
            <w:pPr>
              <w:pStyle w:val="ListParagraph"/>
              <w:ind w:left="360"/>
            </w:pPr>
          </w:p>
        </w:tc>
        <w:tc>
          <w:tcPr>
            <w:tcW w:w="0" w:type="auto"/>
            <w:shd w:val="clear" w:color="auto" w:fill="auto"/>
          </w:tcPr>
          <w:p w:rsidR="00375491" w:rsidRPr="00375491" w:rsidRDefault="00375491" w:rsidP="00375491">
            <w:pPr>
              <w:pStyle w:val="ListParagraph"/>
              <w:ind w:left="360"/>
            </w:pPr>
            <w:r w:rsidRPr="00375491">
              <w:t>Submit Dashboard returns to Welsh Government.</w:t>
            </w:r>
          </w:p>
        </w:tc>
        <w:tc>
          <w:tcPr>
            <w:tcW w:w="0" w:type="auto"/>
            <w:shd w:val="clear" w:color="auto" w:fill="auto"/>
          </w:tcPr>
          <w:p w:rsidR="00375491" w:rsidRPr="00375491" w:rsidRDefault="00375491" w:rsidP="00375491">
            <w:pPr>
              <w:pStyle w:val="ListParagraph"/>
              <w:ind w:left="360"/>
            </w:pPr>
            <w:r w:rsidRPr="00375491">
              <w:t>Steve Adie/Julia Jenkins</w:t>
            </w:r>
          </w:p>
        </w:tc>
        <w:tc>
          <w:tcPr>
            <w:tcW w:w="0" w:type="auto"/>
            <w:shd w:val="clear" w:color="auto" w:fill="auto"/>
          </w:tcPr>
          <w:p w:rsidR="00375491" w:rsidRPr="00375491" w:rsidRDefault="00375491" w:rsidP="00375491">
            <w:pPr>
              <w:pStyle w:val="ListParagraph"/>
              <w:ind w:left="360"/>
            </w:pPr>
            <w:r w:rsidRPr="00375491">
              <w:t>Ongoing</w:t>
            </w:r>
          </w:p>
        </w:tc>
        <w:tc>
          <w:tcPr>
            <w:tcW w:w="0" w:type="auto"/>
            <w:shd w:val="clear" w:color="auto" w:fill="00B050"/>
          </w:tcPr>
          <w:p w:rsidR="00375491" w:rsidRPr="00375491" w:rsidRDefault="00375491" w:rsidP="00375491">
            <w:pPr>
              <w:pStyle w:val="ListParagraph"/>
              <w:ind w:left="360"/>
            </w:pPr>
            <w:r w:rsidRPr="00375491">
              <w:t>Ongoing</w:t>
            </w:r>
          </w:p>
        </w:tc>
      </w:tr>
      <w:tr w:rsidR="00375491" w:rsidRPr="00375491" w:rsidTr="00375491">
        <w:tc>
          <w:tcPr>
            <w:tcW w:w="0" w:type="auto"/>
            <w:shd w:val="clear" w:color="auto" w:fill="auto"/>
          </w:tcPr>
          <w:p w:rsidR="00375491" w:rsidRPr="00375491" w:rsidRDefault="00375491" w:rsidP="00375491">
            <w:pPr>
              <w:pStyle w:val="ListParagraph"/>
              <w:ind w:left="360"/>
            </w:pPr>
          </w:p>
        </w:tc>
        <w:tc>
          <w:tcPr>
            <w:tcW w:w="0" w:type="auto"/>
            <w:shd w:val="clear" w:color="auto" w:fill="auto"/>
          </w:tcPr>
          <w:p w:rsidR="00375491" w:rsidRPr="00375491" w:rsidRDefault="00375491" w:rsidP="00375491">
            <w:pPr>
              <w:pStyle w:val="ListParagraph"/>
              <w:ind w:left="360"/>
            </w:pPr>
            <w:r w:rsidRPr="00375491">
              <w:t>Maintain performance for Dashboard measures that are on track and improve performance for those that are not.</w:t>
            </w:r>
          </w:p>
        </w:tc>
        <w:tc>
          <w:tcPr>
            <w:tcW w:w="0" w:type="auto"/>
            <w:shd w:val="clear" w:color="auto" w:fill="auto"/>
          </w:tcPr>
          <w:p w:rsidR="00375491" w:rsidRPr="00375491" w:rsidRDefault="00375491" w:rsidP="00375491">
            <w:pPr>
              <w:pStyle w:val="ListParagraph"/>
              <w:ind w:left="360"/>
            </w:pPr>
            <w:r w:rsidRPr="00375491">
              <w:t>Steve Adie/Julia Jenkins</w:t>
            </w:r>
          </w:p>
        </w:tc>
        <w:tc>
          <w:tcPr>
            <w:tcW w:w="0" w:type="auto"/>
            <w:shd w:val="clear" w:color="auto" w:fill="auto"/>
          </w:tcPr>
          <w:p w:rsidR="00375491" w:rsidRPr="00375491" w:rsidRDefault="00375491" w:rsidP="00375491">
            <w:pPr>
              <w:pStyle w:val="ListParagraph"/>
              <w:ind w:left="360"/>
            </w:pPr>
            <w:r w:rsidRPr="00375491">
              <w:t>Ongoing</w:t>
            </w:r>
          </w:p>
        </w:tc>
        <w:tc>
          <w:tcPr>
            <w:tcW w:w="0" w:type="auto"/>
            <w:shd w:val="clear" w:color="auto" w:fill="00B050"/>
          </w:tcPr>
          <w:p w:rsidR="00375491" w:rsidRPr="00375491" w:rsidRDefault="00375491" w:rsidP="00375491">
            <w:pPr>
              <w:pStyle w:val="ListParagraph"/>
              <w:ind w:left="360"/>
            </w:pPr>
            <w:r w:rsidRPr="00375491">
              <w:t>Ongoing</w:t>
            </w:r>
          </w:p>
        </w:tc>
      </w:tr>
      <w:tr w:rsidR="00375491" w:rsidRPr="00375491" w:rsidTr="00375491">
        <w:tc>
          <w:tcPr>
            <w:tcW w:w="0" w:type="auto"/>
            <w:shd w:val="clear" w:color="auto" w:fill="auto"/>
          </w:tcPr>
          <w:p w:rsidR="00375491" w:rsidRPr="00375491" w:rsidRDefault="00375491" w:rsidP="00375491">
            <w:pPr>
              <w:pStyle w:val="ListParagraph"/>
              <w:ind w:left="360"/>
            </w:pPr>
          </w:p>
          <w:p w:rsidR="00375491" w:rsidRPr="00375491" w:rsidRDefault="00375491" w:rsidP="00375491">
            <w:pPr>
              <w:pStyle w:val="ListParagraph"/>
              <w:ind w:left="360"/>
            </w:pPr>
          </w:p>
        </w:tc>
        <w:tc>
          <w:tcPr>
            <w:tcW w:w="0" w:type="auto"/>
            <w:shd w:val="clear" w:color="auto" w:fill="auto"/>
          </w:tcPr>
          <w:p w:rsidR="00375491" w:rsidRPr="00375491" w:rsidRDefault="00375491" w:rsidP="00375491">
            <w:pPr>
              <w:pStyle w:val="ListParagraph"/>
              <w:ind w:left="360"/>
            </w:pPr>
            <w:r w:rsidRPr="00375491">
              <w:t>Attend DIAB meetings</w:t>
            </w:r>
          </w:p>
        </w:tc>
        <w:tc>
          <w:tcPr>
            <w:tcW w:w="0" w:type="auto"/>
            <w:shd w:val="clear" w:color="auto" w:fill="auto"/>
          </w:tcPr>
          <w:p w:rsidR="00375491" w:rsidRPr="00375491" w:rsidRDefault="00375491" w:rsidP="00375491">
            <w:pPr>
              <w:pStyle w:val="ListParagraph"/>
              <w:ind w:left="360"/>
            </w:pPr>
            <w:r w:rsidRPr="00375491">
              <w:t>Simon Giles</w:t>
            </w:r>
          </w:p>
        </w:tc>
        <w:tc>
          <w:tcPr>
            <w:tcW w:w="0" w:type="auto"/>
            <w:shd w:val="clear" w:color="auto" w:fill="auto"/>
          </w:tcPr>
          <w:p w:rsidR="00375491" w:rsidRPr="00375491" w:rsidRDefault="00375491" w:rsidP="00375491">
            <w:pPr>
              <w:pStyle w:val="ListParagraph"/>
              <w:ind w:left="360"/>
            </w:pPr>
            <w:r w:rsidRPr="00375491">
              <w:t>Ongoing</w:t>
            </w:r>
          </w:p>
        </w:tc>
        <w:tc>
          <w:tcPr>
            <w:tcW w:w="0" w:type="auto"/>
            <w:shd w:val="clear" w:color="auto" w:fill="00B050"/>
          </w:tcPr>
          <w:p w:rsidR="00375491" w:rsidRPr="00375491" w:rsidRDefault="00375491" w:rsidP="00375491">
            <w:pPr>
              <w:pStyle w:val="ListParagraph"/>
              <w:ind w:left="360"/>
            </w:pPr>
            <w:r w:rsidRPr="00375491">
              <w:t>Ongoing</w:t>
            </w:r>
          </w:p>
        </w:tc>
      </w:tr>
      <w:tr w:rsidR="00DB2AC6" w:rsidRPr="00375491" w:rsidTr="0073391F">
        <w:tc>
          <w:tcPr>
            <w:tcW w:w="0" w:type="auto"/>
            <w:gridSpan w:val="5"/>
            <w:shd w:val="clear" w:color="auto" w:fill="D9D9D9"/>
          </w:tcPr>
          <w:p w:rsidR="00DB2AC6" w:rsidRPr="00375491" w:rsidRDefault="00DB2AC6" w:rsidP="00375491">
            <w:pPr>
              <w:pStyle w:val="ListParagraph"/>
              <w:ind w:left="360"/>
            </w:pPr>
            <w:r w:rsidRPr="00375491">
              <w:rPr>
                <w:b/>
              </w:rPr>
              <w:t>Finance</w:t>
            </w:r>
          </w:p>
        </w:tc>
      </w:tr>
      <w:tr w:rsidR="00375491" w:rsidRPr="00375491" w:rsidTr="00375491">
        <w:tc>
          <w:tcPr>
            <w:tcW w:w="0" w:type="auto"/>
            <w:vMerge w:val="restart"/>
            <w:shd w:val="clear" w:color="auto" w:fill="auto"/>
          </w:tcPr>
          <w:p w:rsidR="00375491" w:rsidRPr="00375491" w:rsidRDefault="00375491" w:rsidP="00375491">
            <w:pPr>
              <w:pStyle w:val="ListParagraph"/>
              <w:ind w:left="360"/>
            </w:pPr>
            <w:r w:rsidRPr="00375491">
              <w:t xml:space="preserve">Ensure that Welsh Government Substance Misuse Action Fund is effectively managed, fully spent and in compliance with Welsh Government requirements </w:t>
            </w:r>
          </w:p>
        </w:tc>
        <w:tc>
          <w:tcPr>
            <w:tcW w:w="0" w:type="auto"/>
            <w:shd w:val="clear" w:color="auto" w:fill="auto"/>
          </w:tcPr>
          <w:p w:rsidR="00375491" w:rsidRPr="00375491" w:rsidRDefault="00375491" w:rsidP="00375491">
            <w:pPr>
              <w:pStyle w:val="ListParagraph"/>
              <w:ind w:left="360"/>
            </w:pPr>
            <w:r w:rsidRPr="00375491">
              <w:t xml:space="preserve">Effectively monitor spend of SMAF and joint commissioning revenue  </w:t>
            </w:r>
          </w:p>
        </w:tc>
        <w:tc>
          <w:tcPr>
            <w:tcW w:w="0" w:type="auto"/>
            <w:shd w:val="clear" w:color="auto" w:fill="auto"/>
          </w:tcPr>
          <w:p w:rsidR="00375491" w:rsidRPr="00375491" w:rsidRDefault="00375491" w:rsidP="00375491">
            <w:pPr>
              <w:pStyle w:val="ListParagraph"/>
              <w:ind w:left="360"/>
            </w:pPr>
            <w:r w:rsidRPr="00375491">
              <w:t>Steve Adie/ Julia Jenkins/Jonathan Jones</w:t>
            </w:r>
          </w:p>
        </w:tc>
        <w:tc>
          <w:tcPr>
            <w:tcW w:w="0" w:type="auto"/>
            <w:shd w:val="clear" w:color="auto" w:fill="auto"/>
          </w:tcPr>
          <w:p w:rsidR="00375491" w:rsidRPr="00375491" w:rsidRDefault="00375491" w:rsidP="00375491">
            <w:pPr>
              <w:pStyle w:val="ListParagraph"/>
              <w:ind w:left="360"/>
            </w:pPr>
            <w:r w:rsidRPr="00375491">
              <w:t>Ongoing</w:t>
            </w:r>
          </w:p>
        </w:tc>
        <w:tc>
          <w:tcPr>
            <w:tcW w:w="0" w:type="auto"/>
            <w:shd w:val="clear" w:color="auto" w:fill="00B050"/>
          </w:tcPr>
          <w:p w:rsidR="00375491" w:rsidRPr="00375491" w:rsidRDefault="00375491" w:rsidP="00375491">
            <w:pPr>
              <w:pStyle w:val="ListParagraph"/>
              <w:ind w:left="360"/>
            </w:pPr>
            <w:r w:rsidRPr="00375491">
              <w:t>Ongoing</w:t>
            </w:r>
          </w:p>
        </w:tc>
      </w:tr>
      <w:tr w:rsidR="00375491" w:rsidRPr="00375491" w:rsidTr="00375491">
        <w:tc>
          <w:tcPr>
            <w:tcW w:w="0" w:type="auto"/>
            <w:vMerge/>
            <w:shd w:val="clear" w:color="auto" w:fill="auto"/>
          </w:tcPr>
          <w:p w:rsidR="00375491" w:rsidRPr="00375491" w:rsidRDefault="00375491" w:rsidP="00375491">
            <w:pPr>
              <w:pStyle w:val="ListParagraph"/>
              <w:ind w:left="360"/>
            </w:pPr>
          </w:p>
        </w:tc>
        <w:tc>
          <w:tcPr>
            <w:tcW w:w="0" w:type="auto"/>
            <w:shd w:val="clear" w:color="auto" w:fill="auto"/>
          </w:tcPr>
          <w:p w:rsidR="00375491" w:rsidRPr="00375491" w:rsidRDefault="00375491" w:rsidP="00375491">
            <w:pPr>
              <w:pStyle w:val="ListParagraph"/>
              <w:ind w:left="360"/>
            </w:pPr>
            <w:r w:rsidRPr="00375491">
              <w:t>Ensure that robust audit trails are in place to manage SMAF and jointly commissioned funding.</w:t>
            </w:r>
          </w:p>
        </w:tc>
        <w:tc>
          <w:tcPr>
            <w:tcW w:w="0" w:type="auto"/>
            <w:shd w:val="clear" w:color="auto" w:fill="auto"/>
          </w:tcPr>
          <w:p w:rsidR="00375491" w:rsidRPr="00375491" w:rsidRDefault="00375491" w:rsidP="00375491">
            <w:pPr>
              <w:pStyle w:val="ListParagraph"/>
              <w:ind w:left="360"/>
            </w:pPr>
            <w:r w:rsidRPr="00375491">
              <w:t>Steve Adie/Julia Jenkins/Jonathan Jones</w:t>
            </w:r>
          </w:p>
        </w:tc>
        <w:tc>
          <w:tcPr>
            <w:tcW w:w="0" w:type="auto"/>
            <w:shd w:val="clear" w:color="auto" w:fill="auto"/>
          </w:tcPr>
          <w:p w:rsidR="00375491" w:rsidRPr="00375491" w:rsidRDefault="00375491" w:rsidP="00375491">
            <w:pPr>
              <w:pStyle w:val="ListParagraph"/>
              <w:ind w:left="360"/>
            </w:pPr>
            <w:r w:rsidRPr="00375491">
              <w:t>Ongoing</w:t>
            </w:r>
          </w:p>
        </w:tc>
        <w:tc>
          <w:tcPr>
            <w:tcW w:w="0" w:type="auto"/>
            <w:shd w:val="clear" w:color="auto" w:fill="00B050"/>
          </w:tcPr>
          <w:p w:rsidR="00375491" w:rsidRPr="00375491" w:rsidRDefault="00375491" w:rsidP="00375491">
            <w:pPr>
              <w:pStyle w:val="ListParagraph"/>
              <w:ind w:left="360"/>
            </w:pPr>
            <w:r w:rsidRPr="00375491">
              <w:t>Systems are already in place.</w:t>
            </w:r>
          </w:p>
        </w:tc>
      </w:tr>
      <w:tr w:rsidR="00375491" w:rsidRPr="00375491" w:rsidTr="00375491">
        <w:tc>
          <w:tcPr>
            <w:tcW w:w="0" w:type="auto"/>
            <w:vMerge/>
            <w:shd w:val="clear" w:color="auto" w:fill="auto"/>
          </w:tcPr>
          <w:p w:rsidR="00375491" w:rsidRPr="00375491" w:rsidRDefault="00375491" w:rsidP="00375491">
            <w:pPr>
              <w:pStyle w:val="ListParagraph"/>
              <w:ind w:left="360"/>
            </w:pPr>
          </w:p>
        </w:tc>
        <w:tc>
          <w:tcPr>
            <w:tcW w:w="0" w:type="auto"/>
            <w:shd w:val="clear" w:color="auto" w:fill="auto"/>
          </w:tcPr>
          <w:p w:rsidR="00375491" w:rsidRPr="00375491" w:rsidRDefault="00375491" w:rsidP="00375491">
            <w:pPr>
              <w:pStyle w:val="ListParagraph"/>
              <w:ind w:left="360"/>
            </w:pPr>
            <w:r w:rsidRPr="00375491">
              <w:t xml:space="preserve">Submit quarterly claims for funding to Welsh Government. </w:t>
            </w:r>
          </w:p>
        </w:tc>
        <w:tc>
          <w:tcPr>
            <w:tcW w:w="0" w:type="auto"/>
            <w:shd w:val="clear" w:color="auto" w:fill="auto"/>
          </w:tcPr>
          <w:p w:rsidR="00375491" w:rsidRPr="00375491" w:rsidRDefault="00375491" w:rsidP="00375491">
            <w:pPr>
              <w:pStyle w:val="ListParagraph"/>
              <w:ind w:left="360"/>
            </w:pPr>
            <w:r w:rsidRPr="00375491">
              <w:t>Steve Adie/ Julia Jenkins/Jonathan Jones</w:t>
            </w:r>
          </w:p>
        </w:tc>
        <w:tc>
          <w:tcPr>
            <w:tcW w:w="0" w:type="auto"/>
            <w:shd w:val="clear" w:color="auto" w:fill="auto"/>
          </w:tcPr>
          <w:p w:rsidR="00375491" w:rsidRPr="00375491" w:rsidRDefault="00375491" w:rsidP="00375491">
            <w:pPr>
              <w:pStyle w:val="ListParagraph"/>
              <w:ind w:left="360"/>
            </w:pPr>
            <w:r w:rsidRPr="00375491">
              <w:t>March 16</w:t>
            </w:r>
          </w:p>
          <w:p w:rsidR="00375491" w:rsidRPr="00375491" w:rsidRDefault="00375491" w:rsidP="00375491">
            <w:pPr>
              <w:pStyle w:val="ListParagraph"/>
              <w:ind w:left="360"/>
            </w:pPr>
            <w:r w:rsidRPr="00375491">
              <w:t>July 16</w:t>
            </w:r>
          </w:p>
          <w:p w:rsidR="00375491" w:rsidRPr="00375491" w:rsidRDefault="00375491" w:rsidP="00375491">
            <w:pPr>
              <w:pStyle w:val="ListParagraph"/>
              <w:ind w:left="360"/>
            </w:pPr>
            <w:r w:rsidRPr="00375491">
              <w:t>Nov 16</w:t>
            </w:r>
          </w:p>
          <w:p w:rsidR="00375491" w:rsidRPr="00375491" w:rsidRDefault="00375491" w:rsidP="00375491">
            <w:pPr>
              <w:pStyle w:val="ListParagraph"/>
              <w:ind w:left="360"/>
            </w:pPr>
            <w:r w:rsidRPr="00375491">
              <w:t>Mar 16</w:t>
            </w:r>
          </w:p>
        </w:tc>
        <w:tc>
          <w:tcPr>
            <w:tcW w:w="0" w:type="auto"/>
            <w:shd w:val="clear" w:color="auto" w:fill="00B050"/>
          </w:tcPr>
          <w:p w:rsidR="00375491" w:rsidRPr="00375491" w:rsidRDefault="00375491" w:rsidP="00375491">
            <w:pPr>
              <w:pStyle w:val="ListParagraph"/>
              <w:ind w:left="360"/>
            </w:pPr>
            <w:r w:rsidRPr="00375491">
              <w:t>Ongoing</w:t>
            </w:r>
          </w:p>
        </w:tc>
      </w:tr>
      <w:tr w:rsidR="00375491" w:rsidRPr="00375491" w:rsidTr="00375491">
        <w:tc>
          <w:tcPr>
            <w:tcW w:w="0" w:type="auto"/>
            <w:vMerge/>
            <w:shd w:val="clear" w:color="auto" w:fill="auto"/>
          </w:tcPr>
          <w:p w:rsidR="00375491" w:rsidRPr="00375491" w:rsidRDefault="00375491" w:rsidP="00375491">
            <w:pPr>
              <w:pStyle w:val="ListParagraph"/>
              <w:ind w:left="360"/>
            </w:pPr>
          </w:p>
        </w:tc>
        <w:tc>
          <w:tcPr>
            <w:tcW w:w="0" w:type="auto"/>
            <w:shd w:val="clear" w:color="auto" w:fill="auto"/>
          </w:tcPr>
          <w:p w:rsidR="00375491" w:rsidRPr="00375491" w:rsidRDefault="00375491" w:rsidP="00375491">
            <w:pPr>
              <w:pStyle w:val="ListParagraph"/>
              <w:ind w:left="360"/>
            </w:pPr>
            <w:r w:rsidRPr="00375491">
              <w:t>Develop a Capital Estates Strategy for the Western Bay Area Planning Board. To also receive and facilitate applications for capital investment.</w:t>
            </w:r>
          </w:p>
        </w:tc>
        <w:tc>
          <w:tcPr>
            <w:tcW w:w="0" w:type="auto"/>
            <w:shd w:val="clear" w:color="auto" w:fill="auto"/>
          </w:tcPr>
          <w:p w:rsidR="00375491" w:rsidRPr="00375491" w:rsidRDefault="00375491" w:rsidP="00375491">
            <w:pPr>
              <w:pStyle w:val="ListParagraph"/>
              <w:ind w:left="360"/>
            </w:pPr>
            <w:r w:rsidRPr="00375491">
              <w:t>Steve Adie/Julia Jenkins</w:t>
            </w:r>
          </w:p>
        </w:tc>
        <w:tc>
          <w:tcPr>
            <w:tcW w:w="0" w:type="auto"/>
            <w:shd w:val="clear" w:color="auto" w:fill="auto"/>
          </w:tcPr>
          <w:p w:rsidR="00375491" w:rsidRPr="00375491" w:rsidRDefault="00375491" w:rsidP="00375491">
            <w:pPr>
              <w:pStyle w:val="ListParagraph"/>
              <w:ind w:left="360"/>
            </w:pPr>
            <w:r w:rsidRPr="00375491">
              <w:t>April 2016</w:t>
            </w:r>
          </w:p>
        </w:tc>
        <w:tc>
          <w:tcPr>
            <w:tcW w:w="0" w:type="auto"/>
            <w:shd w:val="clear" w:color="auto" w:fill="00B050"/>
          </w:tcPr>
          <w:p w:rsidR="00375491" w:rsidRPr="00375491" w:rsidRDefault="00375491" w:rsidP="00375491">
            <w:pPr>
              <w:pStyle w:val="ListParagraph"/>
              <w:ind w:left="360"/>
            </w:pPr>
            <w:r w:rsidRPr="00375491">
              <w:t>Complete</w:t>
            </w:r>
          </w:p>
        </w:tc>
      </w:tr>
      <w:tr w:rsidR="00375491" w:rsidRPr="00375491" w:rsidTr="00375491">
        <w:tc>
          <w:tcPr>
            <w:tcW w:w="0" w:type="auto"/>
            <w:shd w:val="clear" w:color="auto" w:fill="auto"/>
          </w:tcPr>
          <w:p w:rsidR="00375491" w:rsidRPr="00375491" w:rsidRDefault="00375491" w:rsidP="00375491">
            <w:pPr>
              <w:pStyle w:val="ListParagraph"/>
              <w:ind w:left="360"/>
            </w:pPr>
          </w:p>
        </w:tc>
        <w:tc>
          <w:tcPr>
            <w:tcW w:w="0" w:type="auto"/>
            <w:shd w:val="clear" w:color="auto" w:fill="auto"/>
          </w:tcPr>
          <w:p w:rsidR="00375491" w:rsidRPr="00375491" w:rsidRDefault="00375491" w:rsidP="00375491">
            <w:pPr>
              <w:pStyle w:val="ListParagraph"/>
              <w:ind w:left="360"/>
            </w:pPr>
            <w:r w:rsidRPr="00375491">
              <w:t>Identify underspends and to convey proposals for utilising them to the APB</w:t>
            </w:r>
          </w:p>
        </w:tc>
        <w:tc>
          <w:tcPr>
            <w:tcW w:w="0" w:type="auto"/>
            <w:shd w:val="clear" w:color="auto" w:fill="auto"/>
          </w:tcPr>
          <w:p w:rsidR="00375491" w:rsidRPr="00375491" w:rsidRDefault="00375491" w:rsidP="00375491">
            <w:pPr>
              <w:pStyle w:val="ListParagraph"/>
              <w:ind w:left="360"/>
            </w:pPr>
            <w:r w:rsidRPr="00375491">
              <w:t>Steve Adie/Julia Jenkins</w:t>
            </w:r>
          </w:p>
        </w:tc>
        <w:tc>
          <w:tcPr>
            <w:tcW w:w="0" w:type="auto"/>
            <w:shd w:val="clear" w:color="auto" w:fill="auto"/>
          </w:tcPr>
          <w:p w:rsidR="00375491" w:rsidRPr="00375491" w:rsidRDefault="00375491" w:rsidP="00375491">
            <w:pPr>
              <w:pStyle w:val="ListParagraph"/>
              <w:ind w:left="360"/>
            </w:pPr>
            <w:r w:rsidRPr="00375491">
              <w:t>Quarterly</w:t>
            </w:r>
          </w:p>
        </w:tc>
        <w:tc>
          <w:tcPr>
            <w:tcW w:w="0" w:type="auto"/>
            <w:shd w:val="clear" w:color="auto" w:fill="00B050"/>
          </w:tcPr>
          <w:p w:rsidR="00375491" w:rsidRPr="00375491" w:rsidRDefault="00375491" w:rsidP="00375491">
            <w:pPr>
              <w:pStyle w:val="ListParagraph"/>
              <w:ind w:left="360"/>
            </w:pPr>
            <w:r w:rsidRPr="00375491">
              <w:t xml:space="preserve">Ongoing </w:t>
            </w:r>
          </w:p>
        </w:tc>
      </w:tr>
      <w:tr w:rsidR="00375491" w:rsidRPr="00375491" w:rsidTr="00375491">
        <w:tc>
          <w:tcPr>
            <w:tcW w:w="0" w:type="auto"/>
            <w:shd w:val="clear" w:color="auto" w:fill="auto"/>
          </w:tcPr>
          <w:p w:rsidR="00375491" w:rsidRPr="00375491" w:rsidRDefault="00375491" w:rsidP="00375491">
            <w:pPr>
              <w:pStyle w:val="ListParagraph"/>
              <w:ind w:left="360"/>
            </w:pPr>
          </w:p>
        </w:tc>
        <w:tc>
          <w:tcPr>
            <w:tcW w:w="0" w:type="auto"/>
            <w:shd w:val="clear" w:color="auto" w:fill="auto"/>
          </w:tcPr>
          <w:p w:rsidR="00375491" w:rsidRPr="00375491" w:rsidRDefault="00375491" w:rsidP="00375491">
            <w:pPr>
              <w:pStyle w:val="ListParagraph"/>
              <w:ind w:left="360"/>
            </w:pPr>
            <w:r w:rsidRPr="00375491">
              <w:t>To examine and report on the level of voluntary joint contributions made by partners to assess any perceived inequities</w:t>
            </w:r>
          </w:p>
        </w:tc>
        <w:tc>
          <w:tcPr>
            <w:tcW w:w="0" w:type="auto"/>
            <w:shd w:val="clear" w:color="auto" w:fill="auto"/>
          </w:tcPr>
          <w:p w:rsidR="00375491" w:rsidRPr="00375491" w:rsidRDefault="00375491" w:rsidP="00375491">
            <w:pPr>
              <w:pStyle w:val="ListParagraph"/>
              <w:ind w:left="360"/>
            </w:pPr>
            <w:r w:rsidRPr="00375491">
              <w:t>Steve Adie</w:t>
            </w:r>
          </w:p>
        </w:tc>
        <w:tc>
          <w:tcPr>
            <w:tcW w:w="0" w:type="auto"/>
            <w:shd w:val="clear" w:color="auto" w:fill="auto"/>
          </w:tcPr>
          <w:p w:rsidR="00375491" w:rsidRPr="00375491" w:rsidRDefault="00375491" w:rsidP="00375491">
            <w:pPr>
              <w:pStyle w:val="ListParagraph"/>
              <w:ind w:left="360"/>
            </w:pPr>
            <w:r w:rsidRPr="00375491">
              <w:t>September 2016</w:t>
            </w:r>
          </w:p>
        </w:tc>
        <w:tc>
          <w:tcPr>
            <w:tcW w:w="0" w:type="auto"/>
            <w:shd w:val="clear" w:color="auto" w:fill="E36C0A"/>
          </w:tcPr>
          <w:p w:rsidR="00375491" w:rsidRPr="00375491" w:rsidRDefault="00375491" w:rsidP="00375491">
            <w:pPr>
              <w:pStyle w:val="ListParagraph"/>
              <w:ind w:left="360"/>
            </w:pPr>
            <w:r w:rsidRPr="00375491">
              <w:t>Some progress has been made in identifying what partners spend on substance misuse over and above joint commissioning and this will aid discussions.</w:t>
            </w:r>
          </w:p>
        </w:tc>
      </w:tr>
      <w:tr w:rsidR="00DB2AC6" w:rsidRPr="00375491" w:rsidTr="0073391F">
        <w:tc>
          <w:tcPr>
            <w:tcW w:w="0" w:type="auto"/>
            <w:gridSpan w:val="5"/>
            <w:shd w:val="pct15" w:color="auto" w:fill="auto"/>
          </w:tcPr>
          <w:p w:rsidR="00DB2AC6" w:rsidRPr="00375491" w:rsidRDefault="00DB2AC6" w:rsidP="00375491">
            <w:pPr>
              <w:pStyle w:val="ListParagraph"/>
              <w:ind w:left="360"/>
            </w:pPr>
            <w:r w:rsidRPr="00375491">
              <w:rPr>
                <w:b/>
              </w:rPr>
              <w:t>Specific Areas of Service Development</w:t>
            </w:r>
          </w:p>
        </w:tc>
      </w:tr>
      <w:tr w:rsidR="00375491" w:rsidRPr="00375491" w:rsidTr="00375491">
        <w:tc>
          <w:tcPr>
            <w:tcW w:w="0" w:type="auto"/>
            <w:shd w:val="clear" w:color="auto" w:fill="auto"/>
          </w:tcPr>
          <w:p w:rsidR="00375491" w:rsidRPr="00375491" w:rsidRDefault="00375491" w:rsidP="00375491">
            <w:pPr>
              <w:pStyle w:val="ListParagraph"/>
              <w:ind w:left="360"/>
            </w:pPr>
            <w:r w:rsidRPr="00375491">
              <w:t>Ensure that  the Welsh Government guidance for Substance Misuse in Education is embedded in service provision</w:t>
            </w:r>
          </w:p>
        </w:tc>
        <w:tc>
          <w:tcPr>
            <w:tcW w:w="0" w:type="auto"/>
            <w:shd w:val="clear" w:color="auto" w:fill="auto"/>
          </w:tcPr>
          <w:p w:rsidR="00375491" w:rsidRPr="00375491" w:rsidRDefault="00375491" w:rsidP="00375491">
            <w:pPr>
              <w:pStyle w:val="ListParagraph"/>
              <w:ind w:left="360"/>
            </w:pPr>
            <w:r w:rsidRPr="00375491">
              <w:t>Implement WG guidance via the PET sub group work plan</w:t>
            </w:r>
          </w:p>
          <w:p w:rsidR="00375491" w:rsidRPr="00375491" w:rsidRDefault="00375491" w:rsidP="00375491">
            <w:pPr>
              <w:pStyle w:val="ListParagraph"/>
              <w:ind w:left="360"/>
            </w:pPr>
          </w:p>
          <w:p w:rsidR="00375491" w:rsidRPr="00375491" w:rsidRDefault="00375491" w:rsidP="00375491">
            <w:pPr>
              <w:pStyle w:val="ListParagraph"/>
              <w:ind w:left="360"/>
            </w:pPr>
          </w:p>
          <w:p w:rsidR="00375491" w:rsidRPr="00375491" w:rsidRDefault="00375491" w:rsidP="00375491">
            <w:pPr>
              <w:pStyle w:val="ListParagraph"/>
              <w:ind w:left="360"/>
            </w:pPr>
          </w:p>
        </w:tc>
        <w:tc>
          <w:tcPr>
            <w:tcW w:w="0" w:type="auto"/>
            <w:shd w:val="clear" w:color="auto" w:fill="auto"/>
          </w:tcPr>
          <w:p w:rsidR="00375491" w:rsidRPr="00375491" w:rsidRDefault="00375491" w:rsidP="00375491">
            <w:pPr>
              <w:pStyle w:val="ListParagraph"/>
              <w:ind w:left="360"/>
            </w:pPr>
            <w:r w:rsidRPr="00375491">
              <w:t>PET sub group/ Julia Jenkins</w:t>
            </w:r>
          </w:p>
        </w:tc>
        <w:tc>
          <w:tcPr>
            <w:tcW w:w="0" w:type="auto"/>
            <w:shd w:val="clear" w:color="auto" w:fill="auto"/>
          </w:tcPr>
          <w:p w:rsidR="00375491" w:rsidRPr="00375491" w:rsidRDefault="00375491" w:rsidP="00375491">
            <w:pPr>
              <w:pStyle w:val="ListParagraph"/>
              <w:ind w:left="360"/>
            </w:pPr>
            <w:r w:rsidRPr="00375491">
              <w:t>July 2016</w:t>
            </w:r>
          </w:p>
        </w:tc>
        <w:tc>
          <w:tcPr>
            <w:tcW w:w="0" w:type="auto"/>
            <w:shd w:val="clear" w:color="auto" w:fill="F79646"/>
          </w:tcPr>
          <w:p w:rsidR="00375491" w:rsidRPr="00375491" w:rsidRDefault="00375491" w:rsidP="00375491">
            <w:pPr>
              <w:pStyle w:val="ListParagraph"/>
              <w:ind w:left="360"/>
            </w:pPr>
            <w:r w:rsidRPr="00375491">
              <w:t>A report has been produced which the PET group will be considering on 20</w:t>
            </w:r>
            <w:r w:rsidRPr="00375491">
              <w:rPr>
                <w:vertAlign w:val="superscript"/>
              </w:rPr>
              <w:t>th</w:t>
            </w:r>
            <w:r w:rsidRPr="00375491">
              <w:t xml:space="preserve"> Sept.  Recommendations to come back to the APB in Dec.</w:t>
            </w:r>
          </w:p>
        </w:tc>
      </w:tr>
      <w:tr w:rsidR="00375491" w:rsidRPr="00375491" w:rsidTr="00375491">
        <w:tc>
          <w:tcPr>
            <w:tcW w:w="0" w:type="auto"/>
            <w:shd w:val="clear" w:color="auto" w:fill="auto"/>
          </w:tcPr>
          <w:p w:rsidR="00375491" w:rsidRPr="00375491" w:rsidRDefault="00375491" w:rsidP="00375491">
            <w:pPr>
              <w:pStyle w:val="ListParagraph"/>
              <w:ind w:left="360"/>
            </w:pPr>
            <w:r w:rsidRPr="00375491">
              <w:t>Ensure that the Carers Measure 2010 is embedded into service provision</w:t>
            </w:r>
          </w:p>
        </w:tc>
        <w:tc>
          <w:tcPr>
            <w:tcW w:w="0" w:type="auto"/>
            <w:shd w:val="clear" w:color="auto" w:fill="auto"/>
          </w:tcPr>
          <w:p w:rsidR="00375491" w:rsidRPr="00375491" w:rsidRDefault="00375491" w:rsidP="00375491">
            <w:pPr>
              <w:pStyle w:val="ListParagraph"/>
              <w:ind w:left="360"/>
            </w:pPr>
            <w:r w:rsidRPr="00375491">
              <w:t>To be included in the quarterly monitoring meetings conducted by the APB with service providers</w:t>
            </w:r>
          </w:p>
        </w:tc>
        <w:tc>
          <w:tcPr>
            <w:tcW w:w="0" w:type="auto"/>
            <w:shd w:val="clear" w:color="auto" w:fill="auto"/>
          </w:tcPr>
          <w:p w:rsidR="00375491" w:rsidRPr="00375491" w:rsidRDefault="00375491" w:rsidP="00375491">
            <w:pPr>
              <w:pStyle w:val="ListParagraph"/>
              <w:ind w:left="360"/>
            </w:pPr>
            <w:r w:rsidRPr="00375491">
              <w:t>Carl Williams</w:t>
            </w:r>
          </w:p>
        </w:tc>
        <w:tc>
          <w:tcPr>
            <w:tcW w:w="0" w:type="auto"/>
            <w:shd w:val="clear" w:color="auto" w:fill="auto"/>
          </w:tcPr>
          <w:p w:rsidR="00375491" w:rsidRPr="00375491" w:rsidRDefault="00375491" w:rsidP="00375491">
            <w:pPr>
              <w:pStyle w:val="ListParagraph"/>
              <w:ind w:left="360"/>
            </w:pPr>
            <w:r w:rsidRPr="00375491">
              <w:t>April 2016</w:t>
            </w:r>
          </w:p>
        </w:tc>
        <w:tc>
          <w:tcPr>
            <w:tcW w:w="0" w:type="auto"/>
            <w:shd w:val="clear" w:color="auto" w:fill="00B050"/>
          </w:tcPr>
          <w:p w:rsidR="00375491" w:rsidRPr="00375491" w:rsidRDefault="00375491" w:rsidP="00375491">
            <w:pPr>
              <w:pStyle w:val="ListParagraph"/>
              <w:ind w:left="360"/>
            </w:pPr>
            <w:r w:rsidRPr="00375491">
              <w:t>This has been built into monitoring from April 2016</w:t>
            </w:r>
          </w:p>
        </w:tc>
      </w:tr>
      <w:tr w:rsidR="00375491" w:rsidRPr="00375491" w:rsidTr="00375491">
        <w:tc>
          <w:tcPr>
            <w:tcW w:w="0" w:type="auto"/>
            <w:shd w:val="clear" w:color="auto" w:fill="auto"/>
          </w:tcPr>
          <w:p w:rsidR="00375491" w:rsidRPr="00375491" w:rsidRDefault="00375491" w:rsidP="00375491">
            <w:pPr>
              <w:pStyle w:val="ListParagraph"/>
              <w:ind w:left="360"/>
            </w:pPr>
            <w:r w:rsidRPr="00375491">
              <w:t>Ensure that effective protocols exist between specialist treatment agencies and agencies that support sex workers.</w:t>
            </w:r>
          </w:p>
        </w:tc>
        <w:tc>
          <w:tcPr>
            <w:tcW w:w="0" w:type="auto"/>
            <w:shd w:val="clear" w:color="auto" w:fill="auto"/>
          </w:tcPr>
          <w:p w:rsidR="00375491" w:rsidRPr="00375491" w:rsidRDefault="00375491" w:rsidP="00375491">
            <w:pPr>
              <w:pStyle w:val="ListParagraph"/>
              <w:ind w:left="360"/>
            </w:pPr>
            <w:r w:rsidRPr="00375491">
              <w:t>Maintain links with the regional sex workers group and ensure that service providers are aware of ongoing work in this area.</w:t>
            </w:r>
          </w:p>
        </w:tc>
        <w:tc>
          <w:tcPr>
            <w:tcW w:w="0" w:type="auto"/>
            <w:shd w:val="clear" w:color="auto" w:fill="auto"/>
          </w:tcPr>
          <w:p w:rsidR="00375491" w:rsidRPr="00375491" w:rsidRDefault="00375491" w:rsidP="00375491">
            <w:pPr>
              <w:pStyle w:val="ListParagraph"/>
              <w:ind w:left="360"/>
            </w:pPr>
            <w:r w:rsidRPr="00375491">
              <w:t>Steve Adie</w:t>
            </w:r>
          </w:p>
          <w:p w:rsidR="00375491" w:rsidRPr="00375491" w:rsidRDefault="00375491" w:rsidP="00375491">
            <w:pPr>
              <w:pStyle w:val="ListParagraph"/>
              <w:ind w:left="360"/>
            </w:pPr>
          </w:p>
          <w:p w:rsidR="00375491" w:rsidRPr="00375491" w:rsidRDefault="00375491" w:rsidP="00375491">
            <w:pPr>
              <w:pStyle w:val="ListParagraph"/>
              <w:ind w:left="360"/>
            </w:pPr>
          </w:p>
          <w:p w:rsidR="00375491" w:rsidRPr="00375491" w:rsidRDefault="00375491" w:rsidP="00375491">
            <w:pPr>
              <w:pStyle w:val="ListParagraph"/>
              <w:ind w:left="360"/>
            </w:pPr>
          </w:p>
          <w:p w:rsidR="00375491" w:rsidRPr="00375491" w:rsidRDefault="00375491" w:rsidP="00375491">
            <w:pPr>
              <w:pStyle w:val="ListParagraph"/>
              <w:ind w:left="360"/>
            </w:pPr>
          </w:p>
          <w:p w:rsidR="00375491" w:rsidRPr="00375491" w:rsidRDefault="00375491" w:rsidP="00375491">
            <w:pPr>
              <w:pStyle w:val="ListParagraph"/>
              <w:ind w:left="360"/>
            </w:pPr>
          </w:p>
        </w:tc>
        <w:tc>
          <w:tcPr>
            <w:tcW w:w="0" w:type="auto"/>
            <w:shd w:val="clear" w:color="auto" w:fill="auto"/>
          </w:tcPr>
          <w:p w:rsidR="00375491" w:rsidRPr="00375491" w:rsidRDefault="00375491" w:rsidP="00375491">
            <w:pPr>
              <w:pStyle w:val="ListParagraph"/>
              <w:ind w:left="360"/>
            </w:pPr>
            <w:r w:rsidRPr="00375491">
              <w:t>June 2016</w:t>
            </w:r>
          </w:p>
        </w:tc>
        <w:tc>
          <w:tcPr>
            <w:tcW w:w="0" w:type="auto"/>
            <w:shd w:val="clear" w:color="auto" w:fill="FF0000"/>
          </w:tcPr>
          <w:p w:rsidR="00375491" w:rsidRPr="00375491" w:rsidRDefault="00375491" w:rsidP="00375491">
            <w:pPr>
              <w:pStyle w:val="ListParagraph"/>
              <w:ind w:left="360"/>
            </w:pPr>
            <w:r w:rsidRPr="00375491">
              <w:t>The sex worker group meetings will be restarted soon and this issue will be further explored.</w:t>
            </w:r>
          </w:p>
        </w:tc>
      </w:tr>
      <w:tr w:rsidR="00375491" w:rsidRPr="00375491" w:rsidTr="00375491">
        <w:tc>
          <w:tcPr>
            <w:tcW w:w="0" w:type="auto"/>
            <w:shd w:val="clear" w:color="auto" w:fill="auto"/>
          </w:tcPr>
          <w:p w:rsidR="00375491" w:rsidRPr="00375491" w:rsidRDefault="00375491" w:rsidP="00375491">
            <w:pPr>
              <w:pStyle w:val="ListParagraph"/>
              <w:ind w:left="360"/>
            </w:pPr>
            <w:r w:rsidRPr="00375491">
              <w:t>Ensure that transitional services for children and young people and adults are adequate</w:t>
            </w:r>
          </w:p>
        </w:tc>
        <w:tc>
          <w:tcPr>
            <w:tcW w:w="0" w:type="auto"/>
            <w:shd w:val="clear" w:color="auto" w:fill="auto"/>
          </w:tcPr>
          <w:p w:rsidR="00375491" w:rsidRPr="00375491" w:rsidRDefault="00375491" w:rsidP="00375491">
            <w:pPr>
              <w:pStyle w:val="ListParagraph"/>
              <w:ind w:left="360"/>
            </w:pPr>
            <w:r w:rsidRPr="00375491">
              <w:t>To map any gaps in service between young people and adults substance misuse transitioning services.</w:t>
            </w:r>
          </w:p>
        </w:tc>
        <w:tc>
          <w:tcPr>
            <w:tcW w:w="0" w:type="auto"/>
            <w:shd w:val="clear" w:color="auto" w:fill="auto"/>
          </w:tcPr>
          <w:p w:rsidR="00375491" w:rsidRPr="00375491" w:rsidRDefault="00375491" w:rsidP="00375491">
            <w:pPr>
              <w:pStyle w:val="ListParagraph"/>
              <w:ind w:left="360"/>
            </w:pPr>
            <w:r w:rsidRPr="00375491">
              <w:t>CYP Sub Group/Julia Jenkins</w:t>
            </w:r>
          </w:p>
        </w:tc>
        <w:tc>
          <w:tcPr>
            <w:tcW w:w="0" w:type="auto"/>
            <w:shd w:val="clear" w:color="auto" w:fill="auto"/>
          </w:tcPr>
          <w:p w:rsidR="00375491" w:rsidRPr="00375491" w:rsidRDefault="00375491" w:rsidP="00375491">
            <w:pPr>
              <w:pStyle w:val="ListParagraph"/>
              <w:ind w:left="360"/>
            </w:pPr>
            <w:r w:rsidRPr="00375491">
              <w:t>April 2016</w:t>
            </w:r>
          </w:p>
        </w:tc>
        <w:tc>
          <w:tcPr>
            <w:tcW w:w="0" w:type="auto"/>
            <w:shd w:val="clear" w:color="auto" w:fill="00B050"/>
          </w:tcPr>
          <w:p w:rsidR="00375491" w:rsidRPr="00375491" w:rsidRDefault="00375491" w:rsidP="00375491">
            <w:pPr>
              <w:pStyle w:val="ListParagraph"/>
              <w:ind w:left="360"/>
            </w:pPr>
            <w:r w:rsidRPr="00375491">
              <w:t>The CYP Sub Group has considered this issue and felt that the transitional arrangements already in place are adequate.</w:t>
            </w:r>
          </w:p>
        </w:tc>
      </w:tr>
      <w:tr w:rsidR="00DB2AC6" w:rsidRPr="00375491" w:rsidTr="0073391F">
        <w:tc>
          <w:tcPr>
            <w:tcW w:w="0" w:type="auto"/>
            <w:gridSpan w:val="5"/>
            <w:tcBorders>
              <w:bottom w:val="single" w:sz="4" w:space="0" w:color="auto"/>
            </w:tcBorders>
            <w:shd w:val="clear" w:color="auto" w:fill="D9D9D9"/>
          </w:tcPr>
          <w:p w:rsidR="00DB2AC6" w:rsidRPr="00375491" w:rsidRDefault="00DB2AC6" w:rsidP="00375491">
            <w:pPr>
              <w:pStyle w:val="ListParagraph"/>
              <w:ind w:left="360"/>
            </w:pPr>
            <w:r w:rsidRPr="00375491">
              <w:rPr>
                <w:b/>
              </w:rPr>
              <w:t xml:space="preserve">Communication and Engagement </w:t>
            </w:r>
          </w:p>
        </w:tc>
      </w:tr>
      <w:tr w:rsidR="00375491" w:rsidRPr="00375491" w:rsidTr="00375491">
        <w:tc>
          <w:tcPr>
            <w:tcW w:w="0" w:type="auto"/>
            <w:shd w:val="clear" w:color="auto" w:fill="auto"/>
          </w:tcPr>
          <w:p w:rsidR="00375491" w:rsidRPr="00375491" w:rsidRDefault="00375491" w:rsidP="00375491">
            <w:pPr>
              <w:pStyle w:val="ListParagraph"/>
              <w:ind w:left="360"/>
            </w:pPr>
            <w:r w:rsidRPr="00375491">
              <w:t>Ensure effective communication and engagement arrangements are in place.</w:t>
            </w:r>
          </w:p>
        </w:tc>
        <w:tc>
          <w:tcPr>
            <w:tcW w:w="0" w:type="auto"/>
            <w:shd w:val="clear" w:color="auto" w:fill="auto"/>
          </w:tcPr>
          <w:p w:rsidR="00375491" w:rsidRPr="00375491" w:rsidRDefault="00375491" w:rsidP="00375491">
            <w:pPr>
              <w:pStyle w:val="ListParagraph"/>
              <w:ind w:left="360"/>
            </w:pPr>
            <w:r w:rsidRPr="00375491">
              <w:t>Develop a Communication and Engagement Strategy, that will incorporate a new website for the APB and social media presence</w:t>
            </w:r>
          </w:p>
        </w:tc>
        <w:tc>
          <w:tcPr>
            <w:tcW w:w="0" w:type="auto"/>
            <w:shd w:val="clear" w:color="auto" w:fill="auto"/>
          </w:tcPr>
          <w:p w:rsidR="00375491" w:rsidRPr="00375491" w:rsidRDefault="00375491" w:rsidP="00375491">
            <w:pPr>
              <w:pStyle w:val="ListParagraph"/>
              <w:ind w:left="360"/>
            </w:pPr>
            <w:r w:rsidRPr="00375491">
              <w:t>Steve Adie/Lisa Warlow</w:t>
            </w:r>
          </w:p>
        </w:tc>
        <w:tc>
          <w:tcPr>
            <w:tcW w:w="0" w:type="auto"/>
            <w:shd w:val="clear" w:color="auto" w:fill="auto"/>
          </w:tcPr>
          <w:p w:rsidR="00375491" w:rsidRPr="00375491" w:rsidRDefault="00375491" w:rsidP="00375491">
            <w:pPr>
              <w:pStyle w:val="ListParagraph"/>
              <w:ind w:left="360"/>
            </w:pPr>
            <w:r w:rsidRPr="00375491">
              <w:t>June 2016</w:t>
            </w:r>
          </w:p>
        </w:tc>
        <w:tc>
          <w:tcPr>
            <w:tcW w:w="0" w:type="auto"/>
            <w:shd w:val="clear" w:color="auto" w:fill="F79646"/>
          </w:tcPr>
          <w:p w:rsidR="00375491" w:rsidRPr="00375491" w:rsidRDefault="00375491" w:rsidP="00375491">
            <w:pPr>
              <w:pStyle w:val="ListParagraph"/>
              <w:ind w:left="360"/>
            </w:pPr>
            <w:r w:rsidRPr="00375491">
              <w:t>The APB team have met with the NPT CBC Digital By Choice Champion and a WB APB website is in the process of being established.</w:t>
            </w:r>
          </w:p>
        </w:tc>
      </w:tr>
      <w:tr w:rsidR="00375491" w:rsidRPr="00375491" w:rsidTr="00375491">
        <w:tc>
          <w:tcPr>
            <w:tcW w:w="0" w:type="auto"/>
            <w:shd w:val="clear" w:color="auto" w:fill="auto"/>
          </w:tcPr>
          <w:p w:rsidR="00375491" w:rsidRPr="00375491" w:rsidRDefault="00375491" w:rsidP="00375491">
            <w:pPr>
              <w:pStyle w:val="ListParagraph"/>
              <w:ind w:left="360"/>
            </w:pPr>
            <w:r w:rsidRPr="00375491">
              <w:t>Ensure that the APB contributes to relevant consultation documents</w:t>
            </w:r>
          </w:p>
        </w:tc>
        <w:tc>
          <w:tcPr>
            <w:tcW w:w="0" w:type="auto"/>
            <w:shd w:val="clear" w:color="auto" w:fill="auto"/>
          </w:tcPr>
          <w:p w:rsidR="00375491" w:rsidRPr="00375491" w:rsidRDefault="00375491" w:rsidP="00375491">
            <w:pPr>
              <w:pStyle w:val="ListParagraph"/>
              <w:ind w:left="360"/>
            </w:pPr>
            <w:r w:rsidRPr="00375491">
              <w:t>To respond to national consultations affecting substance misuse issues</w:t>
            </w:r>
          </w:p>
        </w:tc>
        <w:tc>
          <w:tcPr>
            <w:tcW w:w="0" w:type="auto"/>
            <w:shd w:val="clear" w:color="auto" w:fill="auto"/>
          </w:tcPr>
          <w:p w:rsidR="00375491" w:rsidRPr="00375491" w:rsidRDefault="00375491" w:rsidP="00375491">
            <w:pPr>
              <w:pStyle w:val="ListParagraph"/>
              <w:ind w:left="360"/>
            </w:pPr>
            <w:r w:rsidRPr="00375491">
              <w:t>Steve Adie</w:t>
            </w:r>
          </w:p>
        </w:tc>
        <w:tc>
          <w:tcPr>
            <w:tcW w:w="0" w:type="auto"/>
            <w:shd w:val="clear" w:color="auto" w:fill="auto"/>
          </w:tcPr>
          <w:p w:rsidR="00375491" w:rsidRPr="00375491" w:rsidRDefault="00375491" w:rsidP="00375491">
            <w:pPr>
              <w:pStyle w:val="ListParagraph"/>
              <w:ind w:left="360"/>
            </w:pPr>
            <w:r w:rsidRPr="00375491">
              <w:t>Ongoing</w:t>
            </w:r>
          </w:p>
        </w:tc>
        <w:tc>
          <w:tcPr>
            <w:tcW w:w="0" w:type="auto"/>
            <w:shd w:val="clear" w:color="auto" w:fill="00B050"/>
          </w:tcPr>
          <w:p w:rsidR="00375491" w:rsidRPr="00375491" w:rsidRDefault="00375491" w:rsidP="00375491">
            <w:pPr>
              <w:pStyle w:val="ListParagraph"/>
              <w:ind w:left="360"/>
            </w:pPr>
            <w:r w:rsidRPr="00375491">
              <w:t>Ongoing</w:t>
            </w:r>
          </w:p>
        </w:tc>
      </w:tr>
      <w:tr w:rsidR="00375491" w:rsidRPr="00375491" w:rsidTr="00375491">
        <w:tc>
          <w:tcPr>
            <w:tcW w:w="0" w:type="auto"/>
            <w:shd w:val="clear" w:color="auto" w:fill="auto"/>
          </w:tcPr>
          <w:p w:rsidR="00375491" w:rsidRPr="00375491" w:rsidRDefault="00375491" w:rsidP="00375491">
            <w:pPr>
              <w:pStyle w:val="ListParagraph"/>
              <w:ind w:left="360"/>
            </w:pPr>
            <w:r w:rsidRPr="00375491">
              <w:t>Ensure that links are maintained between the APB and other relevant partnerships</w:t>
            </w:r>
          </w:p>
        </w:tc>
        <w:tc>
          <w:tcPr>
            <w:tcW w:w="0" w:type="auto"/>
            <w:shd w:val="clear" w:color="auto" w:fill="auto"/>
          </w:tcPr>
          <w:p w:rsidR="00375491" w:rsidRPr="00375491" w:rsidRDefault="00375491" w:rsidP="00375491">
            <w:pPr>
              <w:pStyle w:val="ListParagraph"/>
              <w:ind w:left="360"/>
            </w:pPr>
            <w:r w:rsidRPr="00375491">
              <w:t>To contribute to other groups (CSP’s, Regional Collaborative Committee’s etc.) to advise on the work of the APB</w:t>
            </w:r>
          </w:p>
        </w:tc>
        <w:tc>
          <w:tcPr>
            <w:tcW w:w="0" w:type="auto"/>
            <w:shd w:val="clear" w:color="auto" w:fill="auto"/>
          </w:tcPr>
          <w:p w:rsidR="00375491" w:rsidRPr="00375491" w:rsidRDefault="00375491" w:rsidP="00375491">
            <w:pPr>
              <w:pStyle w:val="ListParagraph"/>
              <w:ind w:left="360"/>
            </w:pPr>
            <w:r w:rsidRPr="00375491">
              <w:t>Steve Adie</w:t>
            </w:r>
          </w:p>
        </w:tc>
        <w:tc>
          <w:tcPr>
            <w:tcW w:w="0" w:type="auto"/>
            <w:shd w:val="clear" w:color="auto" w:fill="auto"/>
          </w:tcPr>
          <w:p w:rsidR="00375491" w:rsidRPr="00375491" w:rsidRDefault="00375491" w:rsidP="00375491">
            <w:pPr>
              <w:pStyle w:val="ListParagraph"/>
              <w:ind w:left="360"/>
            </w:pPr>
            <w:r w:rsidRPr="00375491">
              <w:t>Ongoing</w:t>
            </w:r>
          </w:p>
        </w:tc>
        <w:tc>
          <w:tcPr>
            <w:tcW w:w="0" w:type="auto"/>
            <w:shd w:val="clear" w:color="auto" w:fill="00B050"/>
          </w:tcPr>
          <w:p w:rsidR="00375491" w:rsidRPr="00375491" w:rsidRDefault="00375491" w:rsidP="00375491">
            <w:pPr>
              <w:pStyle w:val="ListParagraph"/>
              <w:ind w:left="360"/>
            </w:pPr>
            <w:r w:rsidRPr="00375491">
              <w:t>Ongoing</w:t>
            </w:r>
          </w:p>
        </w:tc>
      </w:tr>
      <w:tr w:rsidR="00375491" w:rsidRPr="00375491" w:rsidTr="00375491">
        <w:tc>
          <w:tcPr>
            <w:tcW w:w="0" w:type="auto"/>
            <w:shd w:val="clear" w:color="auto" w:fill="auto"/>
          </w:tcPr>
          <w:p w:rsidR="00375491" w:rsidRPr="00375491" w:rsidRDefault="00375491" w:rsidP="00375491">
            <w:pPr>
              <w:pStyle w:val="ListParagraph"/>
              <w:ind w:left="360"/>
            </w:pPr>
            <w:r w:rsidRPr="00375491">
              <w:t>Ensure that Substance Misuse services in Western Bay are promoted across the region</w:t>
            </w:r>
          </w:p>
        </w:tc>
        <w:tc>
          <w:tcPr>
            <w:tcW w:w="0" w:type="auto"/>
            <w:shd w:val="clear" w:color="auto" w:fill="auto"/>
          </w:tcPr>
          <w:p w:rsidR="00375491" w:rsidRPr="00375491" w:rsidRDefault="00375491" w:rsidP="00375491">
            <w:pPr>
              <w:pStyle w:val="ListParagraph"/>
              <w:ind w:left="360"/>
            </w:pPr>
            <w:r w:rsidRPr="00375491">
              <w:t xml:space="preserve">To attend substance misuse events across Western Bay </w:t>
            </w:r>
          </w:p>
        </w:tc>
        <w:tc>
          <w:tcPr>
            <w:tcW w:w="0" w:type="auto"/>
            <w:shd w:val="clear" w:color="auto" w:fill="auto"/>
          </w:tcPr>
          <w:p w:rsidR="00375491" w:rsidRPr="00375491" w:rsidRDefault="00375491" w:rsidP="00375491">
            <w:pPr>
              <w:pStyle w:val="ListParagraph"/>
              <w:ind w:left="360"/>
            </w:pPr>
            <w:r w:rsidRPr="00375491">
              <w:t>Regional Team</w:t>
            </w:r>
          </w:p>
        </w:tc>
        <w:tc>
          <w:tcPr>
            <w:tcW w:w="0" w:type="auto"/>
            <w:shd w:val="clear" w:color="auto" w:fill="auto"/>
          </w:tcPr>
          <w:p w:rsidR="00375491" w:rsidRPr="00375491" w:rsidRDefault="00375491" w:rsidP="00375491">
            <w:pPr>
              <w:pStyle w:val="ListParagraph"/>
              <w:ind w:left="360"/>
            </w:pPr>
            <w:r w:rsidRPr="00375491">
              <w:t>Ongoing</w:t>
            </w:r>
          </w:p>
        </w:tc>
        <w:tc>
          <w:tcPr>
            <w:tcW w:w="0" w:type="auto"/>
            <w:shd w:val="clear" w:color="auto" w:fill="00B050"/>
          </w:tcPr>
          <w:p w:rsidR="00375491" w:rsidRPr="00375491" w:rsidRDefault="00375491" w:rsidP="00375491">
            <w:pPr>
              <w:pStyle w:val="ListParagraph"/>
              <w:ind w:left="360"/>
            </w:pPr>
            <w:r w:rsidRPr="00375491">
              <w:t>Ongoing</w:t>
            </w:r>
          </w:p>
        </w:tc>
      </w:tr>
      <w:tr w:rsidR="00DB2AC6" w:rsidRPr="00375491" w:rsidTr="0073391F">
        <w:tc>
          <w:tcPr>
            <w:tcW w:w="0" w:type="auto"/>
            <w:gridSpan w:val="5"/>
            <w:shd w:val="clear" w:color="auto" w:fill="D9D9D9"/>
          </w:tcPr>
          <w:p w:rsidR="00DB2AC6" w:rsidRPr="00375491" w:rsidRDefault="00DB2AC6" w:rsidP="00375491">
            <w:pPr>
              <w:pStyle w:val="ListParagraph"/>
              <w:ind w:left="360"/>
            </w:pPr>
            <w:r w:rsidRPr="00375491">
              <w:rPr>
                <w:b/>
              </w:rPr>
              <w:t>Other duties of the  APB Team</w:t>
            </w:r>
          </w:p>
        </w:tc>
      </w:tr>
      <w:tr w:rsidR="00375491" w:rsidRPr="00375491" w:rsidTr="00375491">
        <w:tc>
          <w:tcPr>
            <w:tcW w:w="0" w:type="auto"/>
            <w:shd w:val="clear" w:color="auto" w:fill="auto"/>
          </w:tcPr>
          <w:p w:rsidR="00375491" w:rsidRPr="00375491" w:rsidRDefault="00375491" w:rsidP="00375491">
            <w:pPr>
              <w:pStyle w:val="ListParagraph"/>
              <w:ind w:left="360"/>
            </w:pPr>
          </w:p>
        </w:tc>
        <w:tc>
          <w:tcPr>
            <w:tcW w:w="0" w:type="auto"/>
            <w:shd w:val="clear" w:color="auto" w:fill="auto"/>
          </w:tcPr>
          <w:p w:rsidR="00375491" w:rsidRPr="00375491" w:rsidRDefault="00375491" w:rsidP="00375491">
            <w:pPr>
              <w:pStyle w:val="ListParagraph"/>
              <w:ind w:left="360"/>
            </w:pPr>
            <w:r w:rsidRPr="00375491">
              <w:t>To contribute to the development of substance misuse systems</w:t>
            </w:r>
          </w:p>
        </w:tc>
        <w:tc>
          <w:tcPr>
            <w:tcW w:w="0" w:type="auto"/>
            <w:shd w:val="clear" w:color="auto" w:fill="auto"/>
          </w:tcPr>
          <w:p w:rsidR="00375491" w:rsidRPr="00375491" w:rsidRDefault="00375491" w:rsidP="00375491">
            <w:pPr>
              <w:pStyle w:val="ListParagraph"/>
              <w:ind w:left="360"/>
            </w:pPr>
            <w:r w:rsidRPr="00375491">
              <w:t>Regional Team</w:t>
            </w:r>
          </w:p>
        </w:tc>
        <w:tc>
          <w:tcPr>
            <w:tcW w:w="0" w:type="auto"/>
            <w:shd w:val="clear" w:color="auto" w:fill="auto"/>
          </w:tcPr>
          <w:p w:rsidR="00375491" w:rsidRPr="00375491" w:rsidRDefault="00375491" w:rsidP="00375491">
            <w:pPr>
              <w:pStyle w:val="ListParagraph"/>
              <w:ind w:left="360"/>
            </w:pPr>
            <w:r w:rsidRPr="00375491">
              <w:t>Ongoing</w:t>
            </w:r>
          </w:p>
        </w:tc>
        <w:tc>
          <w:tcPr>
            <w:tcW w:w="0" w:type="auto"/>
            <w:shd w:val="clear" w:color="auto" w:fill="00B050"/>
          </w:tcPr>
          <w:p w:rsidR="00375491" w:rsidRPr="00375491" w:rsidRDefault="00375491" w:rsidP="00375491">
            <w:pPr>
              <w:pStyle w:val="ListParagraph"/>
              <w:ind w:left="360"/>
            </w:pPr>
            <w:r w:rsidRPr="00375491">
              <w:t>Ongoing</w:t>
            </w:r>
          </w:p>
        </w:tc>
      </w:tr>
      <w:tr w:rsidR="00375491" w:rsidRPr="00375491" w:rsidTr="00375491">
        <w:tc>
          <w:tcPr>
            <w:tcW w:w="0" w:type="auto"/>
            <w:shd w:val="clear" w:color="auto" w:fill="auto"/>
          </w:tcPr>
          <w:p w:rsidR="00375491" w:rsidRPr="00375491" w:rsidRDefault="00375491" w:rsidP="00375491">
            <w:pPr>
              <w:pStyle w:val="ListParagraph"/>
              <w:ind w:left="360"/>
            </w:pPr>
          </w:p>
        </w:tc>
        <w:tc>
          <w:tcPr>
            <w:tcW w:w="0" w:type="auto"/>
            <w:shd w:val="clear" w:color="auto" w:fill="auto"/>
          </w:tcPr>
          <w:p w:rsidR="00375491" w:rsidRPr="00375491" w:rsidRDefault="00375491" w:rsidP="00375491">
            <w:pPr>
              <w:pStyle w:val="ListParagraph"/>
              <w:ind w:left="360"/>
            </w:pPr>
            <w:r w:rsidRPr="00375491">
              <w:t>To further develop the Case Review Co-ordinator role in respect of fatal and non-fatal drug overdoses</w:t>
            </w:r>
          </w:p>
        </w:tc>
        <w:tc>
          <w:tcPr>
            <w:tcW w:w="0" w:type="auto"/>
            <w:shd w:val="clear" w:color="auto" w:fill="auto"/>
          </w:tcPr>
          <w:p w:rsidR="00375491" w:rsidRPr="00375491" w:rsidRDefault="00375491" w:rsidP="00375491">
            <w:pPr>
              <w:pStyle w:val="ListParagraph"/>
              <w:ind w:left="360"/>
            </w:pPr>
            <w:r w:rsidRPr="00375491">
              <w:t>Lisa Warlow</w:t>
            </w:r>
          </w:p>
        </w:tc>
        <w:tc>
          <w:tcPr>
            <w:tcW w:w="0" w:type="auto"/>
            <w:shd w:val="clear" w:color="auto" w:fill="auto"/>
          </w:tcPr>
          <w:p w:rsidR="00375491" w:rsidRPr="00375491" w:rsidRDefault="00375491" w:rsidP="00375491">
            <w:pPr>
              <w:pStyle w:val="ListParagraph"/>
              <w:ind w:left="360"/>
            </w:pPr>
            <w:r w:rsidRPr="00375491">
              <w:t>Ongoing</w:t>
            </w:r>
          </w:p>
        </w:tc>
        <w:tc>
          <w:tcPr>
            <w:tcW w:w="0" w:type="auto"/>
            <w:shd w:val="clear" w:color="auto" w:fill="00B050"/>
          </w:tcPr>
          <w:p w:rsidR="00375491" w:rsidRPr="00375491" w:rsidRDefault="00375491" w:rsidP="00375491">
            <w:pPr>
              <w:pStyle w:val="ListParagraph"/>
              <w:ind w:left="360"/>
            </w:pPr>
            <w:r w:rsidRPr="00375491">
              <w:t>Ongoing</w:t>
            </w:r>
          </w:p>
        </w:tc>
      </w:tr>
      <w:tr w:rsidR="00375491" w:rsidRPr="00375491" w:rsidTr="00375491">
        <w:tc>
          <w:tcPr>
            <w:tcW w:w="0" w:type="auto"/>
            <w:shd w:val="clear" w:color="auto" w:fill="auto"/>
          </w:tcPr>
          <w:p w:rsidR="00375491" w:rsidRPr="00375491" w:rsidRDefault="00375491" w:rsidP="00375491">
            <w:pPr>
              <w:pStyle w:val="ListParagraph"/>
              <w:ind w:left="360"/>
            </w:pPr>
          </w:p>
        </w:tc>
        <w:tc>
          <w:tcPr>
            <w:tcW w:w="0" w:type="auto"/>
            <w:shd w:val="clear" w:color="auto" w:fill="auto"/>
          </w:tcPr>
          <w:p w:rsidR="00375491" w:rsidRPr="00375491" w:rsidRDefault="00375491" w:rsidP="00375491">
            <w:pPr>
              <w:pStyle w:val="ListParagraph"/>
              <w:ind w:left="360"/>
            </w:pPr>
            <w:r w:rsidRPr="00375491">
              <w:t>To ensure that the Commissioning Support Team staff receive training to support them in their roles</w:t>
            </w:r>
          </w:p>
        </w:tc>
        <w:tc>
          <w:tcPr>
            <w:tcW w:w="0" w:type="auto"/>
            <w:shd w:val="clear" w:color="auto" w:fill="auto"/>
          </w:tcPr>
          <w:p w:rsidR="00375491" w:rsidRPr="00375491" w:rsidRDefault="00375491" w:rsidP="00375491">
            <w:pPr>
              <w:pStyle w:val="ListParagraph"/>
              <w:ind w:left="360"/>
            </w:pPr>
            <w:r w:rsidRPr="00375491">
              <w:t>Regional Team</w:t>
            </w:r>
          </w:p>
        </w:tc>
        <w:tc>
          <w:tcPr>
            <w:tcW w:w="0" w:type="auto"/>
            <w:shd w:val="clear" w:color="auto" w:fill="auto"/>
          </w:tcPr>
          <w:p w:rsidR="00375491" w:rsidRPr="00375491" w:rsidRDefault="00375491" w:rsidP="00375491">
            <w:pPr>
              <w:pStyle w:val="ListParagraph"/>
              <w:ind w:left="360"/>
            </w:pPr>
            <w:r w:rsidRPr="00375491">
              <w:t>Ongoing</w:t>
            </w:r>
          </w:p>
        </w:tc>
        <w:tc>
          <w:tcPr>
            <w:tcW w:w="0" w:type="auto"/>
            <w:shd w:val="clear" w:color="auto" w:fill="00B050"/>
          </w:tcPr>
          <w:p w:rsidR="00375491" w:rsidRPr="00375491" w:rsidRDefault="00375491" w:rsidP="00375491">
            <w:pPr>
              <w:pStyle w:val="ListParagraph"/>
              <w:ind w:left="360"/>
            </w:pPr>
            <w:r w:rsidRPr="00375491">
              <w:t>Ongoing</w:t>
            </w:r>
          </w:p>
        </w:tc>
      </w:tr>
    </w:tbl>
    <w:p w:rsidR="009F60FE" w:rsidRPr="00375491" w:rsidRDefault="009F60FE" w:rsidP="002F0D4C">
      <w:pPr>
        <w:pStyle w:val="ListParagraph"/>
        <w:ind w:left="360"/>
      </w:pPr>
    </w:p>
    <w:sectPr w:rsidR="009F60FE" w:rsidRPr="00375491" w:rsidSect="0037549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BD5" w:rsidRDefault="009B1BD5" w:rsidP="00CE1AF0">
      <w:pPr>
        <w:spacing w:after="0" w:line="240" w:lineRule="auto"/>
      </w:pPr>
      <w:r>
        <w:separator/>
      </w:r>
    </w:p>
  </w:endnote>
  <w:endnote w:type="continuationSeparator" w:id="0">
    <w:p w:rsidR="009B1BD5" w:rsidRDefault="009B1BD5" w:rsidP="00CE1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866646"/>
      <w:docPartObj>
        <w:docPartGallery w:val="Page Numbers (Bottom of Page)"/>
        <w:docPartUnique/>
      </w:docPartObj>
    </w:sdtPr>
    <w:sdtEndPr>
      <w:rPr>
        <w:noProof/>
      </w:rPr>
    </w:sdtEndPr>
    <w:sdtContent>
      <w:p w:rsidR="0073391F" w:rsidRDefault="0073391F">
        <w:pPr>
          <w:pStyle w:val="Footer"/>
          <w:jc w:val="center"/>
        </w:pPr>
        <w:r>
          <w:fldChar w:fldCharType="begin"/>
        </w:r>
        <w:r>
          <w:instrText xml:space="preserve"> PAGE   \* MERGEFORMAT </w:instrText>
        </w:r>
        <w:r>
          <w:fldChar w:fldCharType="separate"/>
        </w:r>
        <w:r w:rsidR="00DF1535">
          <w:rPr>
            <w:noProof/>
          </w:rPr>
          <w:t>2</w:t>
        </w:r>
        <w:r>
          <w:rPr>
            <w:noProof/>
          </w:rPr>
          <w:fldChar w:fldCharType="end"/>
        </w:r>
      </w:p>
    </w:sdtContent>
  </w:sdt>
  <w:p w:rsidR="0073391F" w:rsidRDefault="007339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BD5" w:rsidRDefault="009B1BD5" w:rsidP="00CE1AF0">
      <w:pPr>
        <w:spacing w:after="0" w:line="240" w:lineRule="auto"/>
      </w:pPr>
      <w:r>
        <w:separator/>
      </w:r>
    </w:p>
  </w:footnote>
  <w:footnote w:type="continuationSeparator" w:id="0">
    <w:p w:rsidR="009B1BD5" w:rsidRDefault="009B1BD5" w:rsidP="00CE1A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5C2"/>
    <w:multiLevelType w:val="hybridMultilevel"/>
    <w:tmpl w:val="ADFAC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0F15BAD"/>
    <w:multiLevelType w:val="hybridMultilevel"/>
    <w:tmpl w:val="A3603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39291A"/>
    <w:multiLevelType w:val="hybridMultilevel"/>
    <w:tmpl w:val="0BF63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285B32"/>
    <w:multiLevelType w:val="hybridMultilevel"/>
    <w:tmpl w:val="C624E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F8072D"/>
    <w:multiLevelType w:val="hybridMultilevel"/>
    <w:tmpl w:val="DE6C58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D761C0"/>
    <w:multiLevelType w:val="hybridMultilevel"/>
    <w:tmpl w:val="B2EA413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5C46C9"/>
    <w:multiLevelType w:val="hybridMultilevel"/>
    <w:tmpl w:val="38AED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5B6372"/>
    <w:multiLevelType w:val="hybridMultilevel"/>
    <w:tmpl w:val="A7CCABAC"/>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BF6441"/>
    <w:multiLevelType w:val="hybridMultilevel"/>
    <w:tmpl w:val="6E06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0570A4"/>
    <w:multiLevelType w:val="hybridMultilevel"/>
    <w:tmpl w:val="0C567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161AD3"/>
    <w:multiLevelType w:val="hybridMultilevel"/>
    <w:tmpl w:val="DE6C58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0F32D7"/>
    <w:multiLevelType w:val="hybridMultilevel"/>
    <w:tmpl w:val="432C7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7FE4600"/>
    <w:multiLevelType w:val="hybridMultilevel"/>
    <w:tmpl w:val="CE8C7EB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nsid w:val="3B44653F"/>
    <w:multiLevelType w:val="hybridMultilevel"/>
    <w:tmpl w:val="D13A22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C7518BB"/>
    <w:multiLevelType w:val="hybridMultilevel"/>
    <w:tmpl w:val="ECB2E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8C781F"/>
    <w:multiLevelType w:val="hybridMultilevel"/>
    <w:tmpl w:val="167CD6E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13B38A3"/>
    <w:multiLevelType w:val="hybridMultilevel"/>
    <w:tmpl w:val="2F10C3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994629"/>
    <w:multiLevelType w:val="hybridMultilevel"/>
    <w:tmpl w:val="6EC26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07A2941"/>
    <w:multiLevelType w:val="hybridMultilevel"/>
    <w:tmpl w:val="542CA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20A0A2C"/>
    <w:multiLevelType w:val="hybridMultilevel"/>
    <w:tmpl w:val="6AA6C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0E6CAC"/>
    <w:multiLevelType w:val="hybridMultilevel"/>
    <w:tmpl w:val="B64AC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FDF2F40"/>
    <w:multiLevelType w:val="hybridMultilevel"/>
    <w:tmpl w:val="B4E084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3434437"/>
    <w:multiLevelType w:val="hybridMultilevel"/>
    <w:tmpl w:val="7AB62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CC17F58"/>
    <w:multiLevelType w:val="hybridMultilevel"/>
    <w:tmpl w:val="77EC0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CE024E2"/>
    <w:multiLevelType w:val="hybridMultilevel"/>
    <w:tmpl w:val="3EFA4A9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A241CB8"/>
    <w:multiLevelType w:val="hybridMultilevel"/>
    <w:tmpl w:val="1ECCD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ED0B7B"/>
    <w:multiLevelType w:val="hybridMultilevel"/>
    <w:tmpl w:val="1AD6F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7"/>
  </w:num>
  <w:num w:numId="4">
    <w:abstractNumId w:val="11"/>
  </w:num>
  <w:num w:numId="5">
    <w:abstractNumId w:val="24"/>
  </w:num>
  <w:num w:numId="6">
    <w:abstractNumId w:val="22"/>
  </w:num>
  <w:num w:numId="7">
    <w:abstractNumId w:val="10"/>
  </w:num>
  <w:num w:numId="8">
    <w:abstractNumId w:val="14"/>
  </w:num>
  <w:num w:numId="9">
    <w:abstractNumId w:val="9"/>
  </w:num>
  <w:num w:numId="10">
    <w:abstractNumId w:val="13"/>
  </w:num>
  <w:num w:numId="11">
    <w:abstractNumId w:val="5"/>
  </w:num>
  <w:num w:numId="12">
    <w:abstractNumId w:val="15"/>
  </w:num>
  <w:num w:numId="13">
    <w:abstractNumId w:val="16"/>
  </w:num>
  <w:num w:numId="14">
    <w:abstractNumId w:val="19"/>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0"/>
  </w:num>
  <w:num w:numId="18">
    <w:abstractNumId w:val="12"/>
  </w:num>
  <w:num w:numId="19">
    <w:abstractNumId w:val="21"/>
  </w:num>
  <w:num w:numId="20">
    <w:abstractNumId w:val="25"/>
  </w:num>
  <w:num w:numId="21">
    <w:abstractNumId w:val="8"/>
  </w:num>
  <w:num w:numId="22">
    <w:abstractNumId w:val="26"/>
  </w:num>
  <w:num w:numId="23">
    <w:abstractNumId w:val="2"/>
  </w:num>
  <w:num w:numId="24">
    <w:abstractNumId w:val="6"/>
  </w:num>
  <w:num w:numId="25">
    <w:abstractNumId w:val="18"/>
  </w:num>
  <w:num w:numId="26">
    <w:abstractNumId w:val="1"/>
  </w:num>
  <w:num w:numId="27">
    <w:abstractNumId w:val="2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4F7"/>
    <w:rsid w:val="00001186"/>
    <w:rsid w:val="00002DC7"/>
    <w:rsid w:val="0002729D"/>
    <w:rsid w:val="001030FE"/>
    <w:rsid w:val="00146017"/>
    <w:rsid w:val="00156FE3"/>
    <w:rsid w:val="00162229"/>
    <w:rsid w:val="00162412"/>
    <w:rsid w:val="00177D64"/>
    <w:rsid w:val="001E158F"/>
    <w:rsid w:val="002005FD"/>
    <w:rsid w:val="00215D9C"/>
    <w:rsid w:val="002D270A"/>
    <w:rsid w:val="002F0D4C"/>
    <w:rsid w:val="00375491"/>
    <w:rsid w:val="00396C40"/>
    <w:rsid w:val="004725E8"/>
    <w:rsid w:val="00533536"/>
    <w:rsid w:val="00573BCB"/>
    <w:rsid w:val="005D75CD"/>
    <w:rsid w:val="00666B72"/>
    <w:rsid w:val="00681AE6"/>
    <w:rsid w:val="00691033"/>
    <w:rsid w:val="006B2F8B"/>
    <w:rsid w:val="00725131"/>
    <w:rsid w:val="0073391F"/>
    <w:rsid w:val="00754392"/>
    <w:rsid w:val="00783303"/>
    <w:rsid w:val="007B4AC5"/>
    <w:rsid w:val="007C30FB"/>
    <w:rsid w:val="008179E3"/>
    <w:rsid w:val="0085722A"/>
    <w:rsid w:val="008760A9"/>
    <w:rsid w:val="008E579E"/>
    <w:rsid w:val="009411F0"/>
    <w:rsid w:val="009A25B0"/>
    <w:rsid w:val="009B1BD5"/>
    <w:rsid w:val="009F60FE"/>
    <w:rsid w:val="00A000FB"/>
    <w:rsid w:val="00A134AE"/>
    <w:rsid w:val="00A5462E"/>
    <w:rsid w:val="00A602DD"/>
    <w:rsid w:val="00AB2773"/>
    <w:rsid w:val="00AC5281"/>
    <w:rsid w:val="00AF3A33"/>
    <w:rsid w:val="00BC64FF"/>
    <w:rsid w:val="00BE2E5A"/>
    <w:rsid w:val="00C0451E"/>
    <w:rsid w:val="00C16A58"/>
    <w:rsid w:val="00C92CFC"/>
    <w:rsid w:val="00CE1AF0"/>
    <w:rsid w:val="00CE5DBF"/>
    <w:rsid w:val="00DB2AC6"/>
    <w:rsid w:val="00DF1535"/>
    <w:rsid w:val="00E311C4"/>
    <w:rsid w:val="00E5183B"/>
    <w:rsid w:val="00EA600A"/>
    <w:rsid w:val="00EC041D"/>
    <w:rsid w:val="00F52CBA"/>
    <w:rsid w:val="00F817AD"/>
    <w:rsid w:val="00FC148C"/>
    <w:rsid w:val="00FC14F7"/>
    <w:rsid w:val="00FE6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DBF"/>
    <w:rPr>
      <w:rFonts w:ascii="Tahoma" w:hAnsi="Tahoma" w:cs="Tahoma"/>
      <w:sz w:val="16"/>
      <w:szCs w:val="16"/>
    </w:rPr>
  </w:style>
  <w:style w:type="paragraph" w:styleId="ListParagraph">
    <w:name w:val="List Paragraph"/>
    <w:basedOn w:val="Normal"/>
    <w:uiPriority w:val="34"/>
    <w:qFormat/>
    <w:rsid w:val="00BC64FF"/>
    <w:pPr>
      <w:ind w:left="720"/>
      <w:contextualSpacing/>
    </w:pPr>
  </w:style>
  <w:style w:type="paragraph" w:styleId="Header">
    <w:name w:val="header"/>
    <w:basedOn w:val="Normal"/>
    <w:link w:val="HeaderChar"/>
    <w:uiPriority w:val="99"/>
    <w:unhideWhenUsed/>
    <w:rsid w:val="00CE1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AF0"/>
  </w:style>
  <w:style w:type="paragraph" w:styleId="Footer">
    <w:name w:val="footer"/>
    <w:basedOn w:val="Normal"/>
    <w:link w:val="FooterChar"/>
    <w:uiPriority w:val="99"/>
    <w:unhideWhenUsed/>
    <w:rsid w:val="00CE1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AF0"/>
  </w:style>
  <w:style w:type="table" w:styleId="TableGrid">
    <w:name w:val="Table Grid"/>
    <w:basedOn w:val="TableNormal"/>
    <w:uiPriority w:val="59"/>
    <w:rsid w:val="00002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DBF"/>
    <w:rPr>
      <w:rFonts w:ascii="Tahoma" w:hAnsi="Tahoma" w:cs="Tahoma"/>
      <w:sz w:val="16"/>
      <w:szCs w:val="16"/>
    </w:rPr>
  </w:style>
  <w:style w:type="paragraph" w:styleId="ListParagraph">
    <w:name w:val="List Paragraph"/>
    <w:basedOn w:val="Normal"/>
    <w:uiPriority w:val="34"/>
    <w:qFormat/>
    <w:rsid w:val="00BC64FF"/>
    <w:pPr>
      <w:ind w:left="720"/>
      <w:contextualSpacing/>
    </w:pPr>
  </w:style>
  <w:style w:type="paragraph" w:styleId="Header">
    <w:name w:val="header"/>
    <w:basedOn w:val="Normal"/>
    <w:link w:val="HeaderChar"/>
    <w:uiPriority w:val="99"/>
    <w:unhideWhenUsed/>
    <w:rsid w:val="00CE1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AF0"/>
  </w:style>
  <w:style w:type="paragraph" w:styleId="Footer">
    <w:name w:val="footer"/>
    <w:basedOn w:val="Normal"/>
    <w:link w:val="FooterChar"/>
    <w:uiPriority w:val="99"/>
    <w:unhideWhenUsed/>
    <w:rsid w:val="00CE1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AF0"/>
  </w:style>
  <w:style w:type="table" w:styleId="TableGrid">
    <w:name w:val="Table Grid"/>
    <w:basedOn w:val="TableNormal"/>
    <w:uiPriority w:val="59"/>
    <w:rsid w:val="00002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8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Word_Document1.doc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FCED5-876C-4714-B407-1610EA0B5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5467</Words>
  <Characters>31163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Jenkins</dc:creator>
  <cp:lastModifiedBy>Jonathan Lewis</cp:lastModifiedBy>
  <cp:revision>1</cp:revision>
  <dcterms:created xsi:type="dcterms:W3CDTF">2016-11-16T12:23:00Z</dcterms:created>
  <dcterms:modified xsi:type="dcterms:W3CDTF">2016-11-16T12:23:00Z</dcterms:modified>
</cp:coreProperties>
</file>