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A82A" w14:textId="0D001007" w:rsidR="002B2B83" w:rsidRPr="002B2655" w:rsidRDefault="002B2B83" w:rsidP="00961687">
      <w:pPr>
        <w:jc w:val="center"/>
        <w:rPr>
          <w:rFonts w:ascii="Arial" w:hAnsi="Arial" w:cs="Arial"/>
          <w:b/>
          <w:color w:val="FF0000"/>
          <w:sz w:val="28"/>
          <w:szCs w:val="28"/>
        </w:rPr>
      </w:pPr>
      <w:r w:rsidRPr="002B2655">
        <w:rPr>
          <w:rFonts w:ascii="Arial" w:hAnsi="Arial" w:cs="Arial"/>
          <w:noProof/>
          <w:sz w:val="28"/>
          <w:szCs w:val="28"/>
        </w:rPr>
        <w:drawing>
          <wp:inline distT="0" distB="0" distL="0" distR="0" wp14:anchorId="56739BEE" wp14:editId="6BC5E1E4">
            <wp:extent cx="2932182" cy="670561"/>
            <wp:effectExtent l="0" t="0" r="1905" b="0"/>
            <wp:docPr id="1053433852" name="Picture 1" descr="Neath Port Talbo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33852" name="Picture 1" descr="Neath Port Talbot Council Logo&#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2182" cy="670561"/>
                    </a:xfrm>
                    <a:prstGeom prst="rect">
                      <a:avLst/>
                    </a:prstGeom>
                  </pic:spPr>
                </pic:pic>
              </a:graphicData>
            </a:graphic>
          </wp:inline>
        </w:drawing>
      </w:r>
    </w:p>
    <w:p w14:paraId="5F4E2B93" w14:textId="4B239966" w:rsidR="00961687" w:rsidRPr="00EC6A61" w:rsidRDefault="00961687" w:rsidP="00961687">
      <w:pPr>
        <w:jc w:val="center"/>
        <w:rPr>
          <w:rFonts w:ascii="Arial" w:hAnsi="Arial" w:cs="Arial"/>
          <w:b/>
          <w:sz w:val="28"/>
          <w:szCs w:val="28"/>
        </w:rPr>
      </w:pPr>
      <w:r w:rsidRPr="00EC6A61">
        <w:rPr>
          <w:rFonts w:ascii="Arial" w:hAnsi="Arial" w:cs="Arial"/>
          <w:b/>
          <w:sz w:val="28"/>
          <w:szCs w:val="28"/>
        </w:rPr>
        <w:t>NEATH PORT TALBOT COUNTY BOROUGH COUNCIL</w:t>
      </w:r>
    </w:p>
    <w:p w14:paraId="78060435" w14:textId="1B52D195" w:rsidR="00742BF2" w:rsidRDefault="00F553E0" w:rsidP="00961687">
      <w:pPr>
        <w:jc w:val="center"/>
        <w:rPr>
          <w:rFonts w:ascii="Arial" w:hAnsi="Arial" w:cs="Arial"/>
          <w:b/>
          <w:sz w:val="28"/>
          <w:szCs w:val="28"/>
        </w:rPr>
      </w:pPr>
      <w:r>
        <w:rPr>
          <w:rFonts w:ascii="Arial" w:hAnsi="Arial" w:cs="Arial"/>
          <w:b/>
          <w:sz w:val="28"/>
          <w:szCs w:val="28"/>
        </w:rPr>
        <w:t>Policy and Resources Scrutiny Committee</w:t>
      </w:r>
    </w:p>
    <w:p w14:paraId="3345D872" w14:textId="080CE34E" w:rsidR="00F553E0" w:rsidRPr="00EC6A61" w:rsidRDefault="00F553E0" w:rsidP="00961687">
      <w:pPr>
        <w:jc w:val="center"/>
        <w:rPr>
          <w:rFonts w:ascii="Arial" w:hAnsi="Arial" w:cs="Arial"/>
          <w:b/>
          <w:sz w:val="28"/>
          <w:szCs w:val="28"/>
        </w:rPr>
      </w:pPr>
      <w:r>
        <w:rPr>
          <w:rFonts w:ascii="Arial" w:hAnsi="Arial" w:cs="Arial"/>
          <w:b/>
          <w:sz w:val="28"/>
          <w:szCs w:val="28"/>
        </w:rPr>
        <w:t>26</w:t>
      </w:r>
      <w:r w:rsidRPr="00F553E0">
        <w:rPr>
          <w:rFonts w:ascii="Arial" w:hAnsi="Arial" w:cs="Arial"/>
          <w:b/>
          <w:sz w:val="28"/>
          <w:szCs w:val="28"/>
          <w:vertAlign w:val="superscript"/>
        </w:rPr>
        <w:t>th</w:t>
      </w:r>
      <w:r>
        <w:rPr>
          <w:rFonts w:ascii="Arial" w:hAnsi="Arial" w:cs="Arial"/>
          <w:b/>
          <w:sz w:val="28"/>
          <w:szCs w:val="28"/>
        </w:rPr>
        <w:t xml:space="preserve"> February 2026</w:t>
      </w:r>
    </w:p>
    <w:tbl>
      <w:tblPr>
        <w:tblStyle w:val="TableGrid"/>
        <w:tblW w:w="0" w:type="auto"/>
        <w:tblLook w:val="04A0" w:firstRow="1" w:lastRow="0" w:firstColumn="1" w:lastColumn="0" w:noHBand="0" w:noVBand="1"/>
      </w:tblPr>
      <w:tblGrid>
        <w:gridCol w:w="4508"/>
        <w:gridCol w:w="4508"/>
      </w:tblGrid>
      <w:tr w:rsidR="00961687" w:rsidRPr="002B2655" w14:paraId="793586BC" w14:textId="77777777" w:rsidTr="00961687">
        <w:tc>
          <w:tcPr>
            <w:tcW w:w="4508" w:type="dxa"/>
          </w:tcPr>
          <w:p w14:paraId="141FB33E" w14:textId="5BE6CA66" w:rsidR="00961687" w:rsidRPr="002B2655" w:rsidRDefault="00961687">
            <w:pPr>
              <w:rPr>
                <w:rFonts w:ascii="Arial" w:hAnsi="Arial" w:cs="Arial"/>
                <w:b/>
                <w:bCs/>
                <w:sz w:val="28"/>
                <w:szCs w:val="28"/>
              </w:rPr>
            </w:pPr>
            <w:r w:rsidRPr="002B2655">
              <w:rPr>
                <w:rFonts w:ascii="Arial" w:hAnsi="Arial" w:cs="Arial"/>
                <w:b/>
                <w:bCs/>
                <w:sz w:val="28"/>
                <w:szCs w:val="28"/>
              </w:rPr>
              <w:t>Report Title</w:t>
            </w:r>
          </w:p>
        </w:tc>
        <w:tc>
          <w:tcPr>
            <w:tcW w:w="4508" w:type="dxa"/>
          </w:tcPr>
          <w:p w14:paraId="1F2C1530" w14:textId="5D8F0653" w:rsidR="00961687" w:rsidRPr="002B2655" w:rsidRDefault="00EC6A61">
            <w:pPr>
              <w:rPr>
                <w:rFonts w:ascii="Arial" w:hAnsi="Arial" w:cs="Arial"/>
                <w:sz w:val="28"/>
                <w:szCs w:val="28"/>
              </w:rPr>
            </w:pPr>
            <w:r>
              <w:rPr>
                <w:rFonts w:ascii="Arial" w:hAnsi="Arial" w:cs="Arial"/>
                <w:sz w:val="28"/>
                <w:szCs w:val="28"/>
              </w:rPr>
              <w:t>Social Partnership Duty Annual Report 2025 / 2026</w:t>
            </w:r>
          </w:p>
        </w:tc>
      </w:tr>
      <w:tr w:rsidR="00961687" w:rsidRPr="002B2655" w14:paraId="59F260B4" w14:textId="77777777" w:rsidTr="00961687">
        <w:tc>
          <w:tcPr>
            <w:tcW w:w="4508" w:type="dxa"/>
          </w:tcPr>
          <w:p w14:paraId="775773AF" w14:textId="37938128" w:rsidR="00961687" w:rsidRPr="002B2655" w:rsidRDefault="00961687" w:rsidP="00961687">
            <w:pPr>
              <w:rPr>
                <w:rFonts w:ascii="Arial" w:hAnsi="Arial" w:cs="Arial"/>
                <w:b/>
                <w:bCs/>
                <w:sz w:val="28"/>
                <w:szCs w:val="28"/>
              </w:rPr>
            </w:pPr>
            <w:r w:rsidRPr="002B2655">
              <w:rPr>
                <w:rFonts w:ascii="Arial" w:hAnsi="Arial" w:cs="Arial"/>
                <w:b/>
                <w:bCs/>
                <w:sz w:val="28"/>
                <w:szCs w:val="28"/>
              </w:rPr>
              <w:t>Report Author</w:t>
            </w:r>
          </w:p>
        </w:tc>
        <w:tc>
          <w:tcPr>
            <w:tcW w:w="4508" w:type="dxa"/>
          </w:tcPr>
          <w:p w14:paraId="22DF1DC6" w14:textId="77777777" w:rsidR="00961687" w:rsidRDefault="00EC6A61" w:rsidP="00961687">
            <w:pPr>
              <w:rPr>
                <w:rFonts w:ascii="Arial" w:hAnsi="Arial" w:cs="Arial"/>
                <w:sz w:val="28"/>
                <w:szCs w:val="28"/>
              </w:rPr>
            </w:pPr>
            <w:r>
              <w:rPr>
                <w:rFonts w:ascii="Arial" w:hAnsi="Arial" w:cs="Arial"/>
                <w:sz w:val="28"/>
                <w:szCs w:val="28"/>
              </w:rPr>
              <w:t>Sheenagh Rees</w:t>
            </w:r>
          </w:p>
          <w:p w14:paraId="6CD608E6" w14:textId="77777777" w:rsidR="00EC6A61" w:rsidRDefault="00EC6A61" w:rsidP="00961687">
            <w:pPr>
              <w:rPr>
                <w:rFonts w:ascii="Arial" w:hAnsi="Arial" w:cs="Arial"/>
                <w:sz w:val="28"/>
                <w:szCs w:val="28"/>
              </w:rPr>
            </w:pPr>
            <w:r>
              <w:rPr>
                <w:rFonts w:ascii="Arial" w:hAnsi="Arial" w:cs="Arial"/>
                <w:sz w:val="28"/>
                <w:szCs w:val="28"/>
              </w:rPr>
              <w:t>Head of People &amp; Organisational Development</w:t>
            </w:r>
          </w:p>
          <w:p w14:paraId="70FDF6CF" w14:textId="6B707E67" w:rsidR="00EC6A61" w:rsidRPr="002B2655" w:rsidRDefault="00EC6A61" w:rsidP="00961687">
            <w:pPr>
              <w:rPr>
                <w:rFonts w:ascii="Arial" w:hAnsi="Arial" w:cs="Arial"/>
                <w:sz w:val="28"/>
                <w:szCs w:val="28"/>
              </w:rPr>
            </w:pPr>
            <w:hyperlink r:id="rId6" w:history="1">
              <w:r w:rsidRPr="00F534C7">
                <w:rPr>
                  <w:rStyle w:val="Hyperlink"/>
                  <w:rFonts w:ascii="Arial" w:hAnsi="Arial" w:cs="Arial"/>
                  <w:sz w:val="28"/>
                  <w:szCs w:val="28"/>
                </w:rPr>
                <w:t>s.rees5@npt.gov.uk</w:t>
              </w:r>
            </w:hyperlink>
            <w:r>
              <w:rPr>
                <w:rFonts w:ascii="Arial" w:hAnsi="Arial" w:cs="Arial"/>
                <w:sz w:val="28"/>
                <w:szCs w:val="28"/>
              </w:rPr>
              <w:t xml:space="preserve"> </w:t>
            </w:r>
          </w:p>
        </w:tc>
      </w:tr>
      <w:tr w:rsidR="003257D1" w:rsidRPr="002B2655" w14:paraId="0F06B586" w14:textId="77777777" w:rsidTr="00961687">
        <w:tc>
          <w:tcPr>
            <w:tcW w:w="4508" w:type="dxa"/>
          </w:tcPr>
          <w:p w14:paraId="68D226AE" w14:textId="7F7FF8B4" w:rsidR="003257D1" w:rsidRPr="002B2655" w:rsidRDefault="003257D1" w:rsidP="00961687">
            <w:pPr>
              <w:rPr>
                <w:rFonts w:ascii="Arial" w:hAnsi="Arial" w:cs="Arial"/>
                <w:b/>
                <w:bCs/>
                <w:sz w:val="28"/>
                <w:szCs w:val="28"/>
              </w:rPr>
            </w:pPr>
            <w:r>
              <w:rPr>
                <w:rFonts w:ascii="Arial" w:hAnsi="Arial" w:cs="Arial"/>
                <w:b/>
                <w:bCs/>
                <w:sz w:val="28"/>
                <w:szCs w:val="28"/>
              </w:rPr>
              <w:t>Head of Service</w:t>
            </w:r>
          </w:p>
        </w:tc>
        <w:tc>
          <w:tcPr>
            <w:tcW w:w="4508" w:type="dxa"/>
          </w:tcPr>
          <w:p w14:paraId="6122CC5B" w14:textId="4D3D5682" w:rsidR="003257D1" w:rsidRPr="002B2655" w:rsidRDefault="00EC6A61" w:rsidP="003257D1">
            <w:pPr>
              <w:rPr>
                <w:rFonts w:ascii="Arial" w:hAnsi="Arial" w:cs="Arial"/>
                <w:sz w:val="28"/>
                <w:szCs w:val="28"/>
              </w:rPr>
            </w:pPr>
            <w:r>
              <w:rPr>
                <w:rFonts w:ascii="Arial" w:hAnsi="Arial" w:cs="Arial"/>
                <w:sz w:val="28"/>
                <w:szCs w:val="28"/>
              </w:rPr>
              <w:t>As above</w:t>
            </w:r>
          </w:p>
        </w:tc>
      </w:tr>
      <w:tr w:rsidR="003257D1" w:rsidRPr="002B2655" w14:paraId="73DC5A19" w14:textId="77777777" w:rsidTr="00961687">
        <w:tc>
          <w:tcPr>
            <w:tcW w:w="4508" w:type="dxa"/>
          </w:tcPr>
          <w:p w14:paraId="3737B00F" w14:textId="14F2C0C6" w:rsidR="003257D1" w:rsidRDefault="003257D1" w:rsidP="00961687">
            <w:pPr>
              <w:rPr>
                <w:rFonts w:ascii="Arial" w:hAnsi="Arial" w:cs="Arial"/>
                <w:b/>
                <w:bCs/>
                <w:sz w:val="28"/>
                <w:szCs w:val="28"/>
              </w:rPr>
            </w:pPr>
            <w:r>
              <w:rPr>
                <w:rFonts w:ascii="Arial" w:hAnsi="Arial" w:cs="Arial"/>
                <w:b/>
                <w:bCs/>
                <w:sz w:val="28"/>
                <w:szCs w:val="28"/>
              </w:rPr>
              <w:t>Director</w:t>
            </w:r>
          </w:p>
        </w:tc>
        <w:tc>
          <w:tcPr>
            <w:tcW w:w="4508" w:type="dxa"/>
          </w:tcPr>
          <w:p w14:paraId="1FDECD57" w14:textId="77777777" w:rsidR="003257D1" w:rsidRDefault="00EC6A61" w:rsidP="003257D1">
            <w:pPr>
              <w:rPr>
                <w:rFonts w:ascii="Arial" w:hAnsi="Arial" w:cs="Arial"/>
                <w:sz w:val="28"/>
                <w:szCs w:val="28"/>
              </w:rPr>
            </w:pPr>
            <w:r>
              <w:rPr>
                <w:rFonts w:ascii="Arial" w:hAnsi="Arial" w:cs="Arial"/>
                <w:sz w:val="28"/>
                <w:szCs w:val="28"/>
              </w:rPr>
              <w:t>Noelwyn Daniel</w:t>
            </w:r>
          </w:p>
          <w:p w14:paraId="751B63DC" w14:textId="79907366" w:rsidR="00EC6A61" w:rsidRDefault="00C50AA0" w:rsidP="003257D1">
            <w:pPr>
              <w:rPr>
                <w:rFonts w:ascii="Arial" w:hAnsi="Arial" w:cs="Arial"/>
                <w:sz w:val="28"/>
                <w:szCs w:val="28"/>
              </w:rPr>
            </w:pPr>
            <w:r>
              <w:rPr>
                <w:rFonts w:ascii="Arial" w:hAnsi="Arial" w:cs="Arial"/>
                <w:sz w:val="28"/>
                <w:szCs w:val="28"/>
              </w:rPr>
              <w:t xml:space="preserve">Strategic </w:t>
            </w:r>
            <w:r w:rsidR="00EC6A61">
              <w:rPr>
                <w:rFonts w:ascii="Arial" w:hAnsi="Arial" w:cs="Arial"/>
                <w:sz w:val="28"/>
                <w:szCs w:val="28"/>
              </w:rPr>
              <w:t>Director of Strategy and Corporate Services</w:t>
            </w:r>
          </w:p>
          <w:p w14:paraId="6E6A0205" w14:textId="74DDB4DF" w:rsidR="00EC6A61" w:rsidRPr="002B2655" w:rsidRDefault="00EC6A61" w:rsidP="003257D1">
            <w:pPr>
              <w:rPr>
                <w:rFonts w:ascii="Arial" w:hAnsi="Arial" w:cs="Arial"/>
                <w:sz w:val="28"/>
                <w:szCs w:val="28"/>
              </w:rPr>
            </w:pPr>
            <w:hyperlink r:id="rId7" w:history="1">
              <w:r w:rsidRPr="00F534C7">
                <w:rPr>
                  <w:rStyle w:val="Hyperlink"/>
                  <w:rFonts w:ascii="Arial" w:hAnsi="Arial" w:cs="Arial"/>
                  <w:sz w:val="28"/>
                  <w:szCs w:val="28"/>
                </w:rPr>
                <w:t>N.Daniel@npt.gov.uk</w:t>
              </w:r>
            </w:hyperlink>
            <w:r>
              <w:rPr>
                <w:rFonts w:ascii="Arial" w:hAnsi="Arial" w:cs="Arial"/>
                <w:sz w:val="28"/>
                <w:szCs w:val="28"/>
              </w:rPr>
              <w:t xml:space="preserve">  </w:t>
            </w:r>
          </w:p>
        </w:tc>
      </w:tr>
      <w:tr w:rsidR="00475F82" w:rsidRPr="002B2655" w14:paraId="137CB9BE" w14:textId="77777777" w:rsidTr="00961687">
        <w:tc>
          <w:tcPr>
            <w:tcW w:w="4508" w:type="dxa"/>
          </w:tcPr>
          <w:p w14:paraId="00E77E5F" w14:textId="190F18C2" w:rsidR="00475F82" w:rsidRPr="002B2655" w:rsidRDefault="00475F82" w:rsidP="00961687">
            <w:pPr>
              <w:rPr>
                <w:rFonts w:ascii="Arial" w:hAnsi="Arial" w:cs="Arial"/>
                <w:b/>
                <w:bCs/>
                <w:sz w:val="28"/>
                <w:szCs w:val="28"/>
              </w:rPr>
            </w:pPr>
            <w:r w:rsidRPr="002B2655">
              <w:rPr>
                <w:rFonts w:ascii="Arial" w:hAnsi="Arial" w:cs="Arial"/>
                <w:b/>
                <w:bCs/>
                <w:sz w:val="28"/>
                <w:szCs w:val="28"/>
              </w:rPr>
              <w:t>Directorate</w:t>
            </w:r>
          </w:p>
        </w:tc>
        <w:tc>
          <w:tcPr>
            <w:tcW w:w="4508" w:type="dxa"/>
          </w:tcPr>
          <w:p w14:paraId="5B51EF39" w14:textId="77777777" w:rsidR="00EC6A61" w:rsidRDefault="00EC6A61" w:rsidP="00EC6A61">
            <w:pPr>
              <w:rPr>
                <w:rFonts w:ascii="Arial" w:hAnsi="Arial" w:cs="Arial"/>
                <w:sz w:val="28"/>
                <w:szCs w:val="28"/>
              </w:rPr>
            </w:pPr>
            <w:r>
              <w:rPr>
                <w:rFonts w:ascii="Arial" w:hAnsi="Arial" w:cs="Arial"/>
                <w:sz w:val="28"/>
                <w:szCs w:val="28"/>
              </w:rPr>
              <w:t>Strategy and Corporate Services</w:t>
            </w:r>
          </w:p>
          <w:p w14:paraId="4BE7B7A3" w14:textId="0DD91045" w:rsidR="00475F82" w:rsidRPr="002B2655" w:rsidRDefault="00475F82" w:rsidP="00961687">
            <w:pPr>
              <w:rPr>
                <w:rFonts w:ascii="Arial" w:hAnsi="Arial" w:cs="Arial"/>
                <w:sz w:val="28"/>
                <w:szCs w:val="28"/>
              </w:rPr>
            </w:pPr>
          </w:p>
        </w:tc>
      </w:tr>
      <w:tr w:rsidR="00961687" w:rsidRPr="002B2655" w14:paraId="2F01C734" w14:textId="77777777" w:rsidTr="00961687">
        <w:tc>
          <w:tcPr>
            <w:tcW w:w="4508" w:type="dxa"/>
          </w:tcPr>
          <w:p w14:paraId="4274BCD2" w14:textId="4F1E53BD" w:rsidR="00961687" w:rsidRPr="002B2655" w:rsidRDefault="00961687" w:rsidP="00961687">
            <w:pPr>
              <w:rPr>
                <w:rFonts w:ascii="Arial" w:hAnsi="Arial" w:cs="Arial"/>
                <w:b/>
                <w:bCs/>
                <w:sz w:val="28"/>
                <w:szCs w:val="28"/>
              </w:rPr>
            </w:pPr>
            <w:r w:rsidRPr="002B2655">
              <w:rPr>
                <w:rFonts w:ascii="Arial" w:hAnsi="Arial" w:cs="Arial"/>
                <w:b/>
                <w:bCs/>
                <w:sz w:val="28"/>
                <w:szCs w:val="28"/>
              </w:rPr>
              <w:t>Wards Affected</w:t>
            </w:r>
          </w:p>
        </w:tc>
        <w:tc>
          <w:tcPr>
            <w:tcW w:w="4508" w:type="dxa"/>
          </w:tcPr>
          <w:p w14:paraId="137C9F8E" w14:textId="445A905A" w:rsidR="00961687" w:rsidRPr="002B2655" w:rsidRDefault="002B2B83" w:rsidP="00961687">
            <w:pPr>
              <w:rPr>
                <w:rFonts w:ascii="Arial" w:hAnsi="Arial" w:cs="Arial"/>
                <w:sz w:val="28"/>
                <w:szCs w:val="28"/>
              </w:rPr>
            </w:pPr>
            <w:r w:rsidRPr="002B2655">
              <w:rPr>
                <w:rFonts w:ascii="Arial" w:hAnsi="Arial" w:cs="Arial"/>
                <w:sz w:val="28"/>
                <w:szCs w:val="28"/>
              </w:rPr>
              <w:t>All Wards</w:t>
            </w:r>
          </w:p>
        </w:tc>
      </w:tr>
      <w:tr w:rsidR="00961687" w:rsidRPr="002B2655" w14:paraId="1740AABA" w14:textId="77777777" w:rsidTr="00961687">
        <w:tc>
          <w:tcPr>
            <w:tcW w:w="4508" w:type="dxa"/>
          </w:tcPr>
          <w:p w14:paraId="7243EDB4" w14:textId="4CDE59D6" w:rsidR="00961687" w:rsidRPr="002B2655" w:rsidRDefault="00961687" w:rsidP="00961687">
            <w:pPr>
              <w:rPr>
                <w:rFonts w:ascii="Arial" w:hAnsi="Arial" w:cs="Arial"/>
                <w:b/>
                <w:bCs/>
                <w:sz w:val="28"/>
                <w:szCs w:val="28"/>
              </w:rPr>
            </w:pPr>
            <w:r w:rsidRPr="002B2655">
              <w:rPr>
                <w:rFonts w:ascii="Arial" w:hAnsi="Arial" w:cs="Arial"/>
                <w:b/>
                <w:bCs/>
                <w:sz w:val="28"/>
                <w:szCs w:val="28"/>
              </w:rPr>
              <w:t>Matter for</w:t>
            </w:r>
          </w:p>
        </w:tc>
        <w:tc>
          <w:tcPr>
            <w:tcW w:w="4508" w:type="dxa"/>
          </w:tcPr>
          <w:p w14:paraId="33030E19" w14:textId="2BFF8620" w:rsidR="00961687" w:rsidRPr="002B2655" w:rsidRDefault="00F553E0" w:rsidP="00961687">
            <w:pPr>
              <w:rPr>
                <w:rFonts w:ascii="Arial" w:hAnsi="Arial" w:cs="Arial"/>
                <w:sz w:val="28"/>
                <w:szCs w:val="28"/>
              </w:rPr>
            </w:pPr>
            <w:r>
              <w:rPr>
                <w:rFonts w:ascii="Arial" w:hAnsi="Arial" w:cs="Arial"/>
                <w:sz w:val="28"/>
                <w:szCs w:val="28"/>
              </w:rPr>
              <w:t>Monitoring</w:t>
            </w:r>
          </w:p>
        </w:tc>
      </w:tr>
      <w:tr w:rsidR="002B2B83" w:rsidRPr="002B2655" w14:paraId="5D35CAD9" w14:textId="77777777" w:rsidTr="00961687">
        <w:tc>
          <w:tcPr>
            <w:tcW w:w="4508" w:type="dxa"/>
          </w:tcPr>
          <w:p w14:paraId="62192803" w14:textId="11694980" w:rsidR="002B2B83" w:rsidRPr="002B2655" w:rsidRDefault="002B2B83" w:rsidP="00961687">
            <w:pPr>
              <w:rPr>
                <w:rFonts w:ascii="Arial" w:hAnsi="Arial" w:cs="Arial"/>
                <w:b/>
                <w:bCs/>
                <w:sz w:val="28"/>
                <w:szCs w:val="28"/>
              </w:rPr>
            </w:pPr>
            <w:r w:rsidRPr="002B2655">
              <w:rPr>
                <w:rFonts w:ascii="Arial" w:hAnsi="Arial" w:cs="Arial"/>
                <w:b/>
                <w:bCs/>
                <w:sz w:val="28"/>
                <w:szCs w:val="28"/>
              </w:rPr>
              <w:t>Public or Exempt/Confidential – if exempt please state reason as to why it should be considered exempt.</w:t>
            </w:r>
          </w:p>
        </w:tc>
        <w:tc>
          <w:tcPr>
            <w:tcW w:w="4508" w:type="dxa"/>
          </w:tcPr>
          <w:p w14:paraId="7A20F3CC" w14:textId="4DB8C28F" w:rsidR="002B2B83" w:rsidRPr="002B2655" w:rsidRDefault="00EC6A61" w:rsidP="00961687">
            <w:pPr>
              <w:rPr>
                <w:rFonts w:ascii="Arial" w:hAnsi="Arial" w:cs="Arial"/>
                <w:sz w:val="28"/>
                <w:szCs w:val="28"/>
              </w:rPr>
            </w:pPr>
            <w:r>
              <w:rPr>
                <w:rFonts w:ascii="Arial" w:hAnsi="Arial" w:cs="Arial"/>
                <w:sz w:val="28"/>
                <w:szCs w:val="28"/>
              </w:rPr>
              <w:t>Public</w:t>
            </w:r>
          </w:p>
        </w:tc>
      </w:tr>
    </w:tbl>
    <w:p w14:paraId="575E98C7" w14:textId="77777777" w:rsidR="002B2655" w:rsidRDefault="002B2655">
      <w:pPr>
        <w:rPr>
          <w:rFonts w:ascii="Arial" w:hAnsi="Arial" w:cs="Arial"/>
          <w:sz w:val="28"/>
          <w:szCs w:val="28"/>
        </w:rPr>
      </w:pPr>
    </w:p>
    <w:p w14:paraId="49E8AB44" w14:textId="77777777" w:rsidR="003257D1" w:rsidRDefault="003257D1">
      <w:pPr>
        <w:rPr>
          <w:rFonts w:ascii="Arial" w:hAnsi="Arial" w:cs="Arial"/>
          <w:sz w:val="28"/>
          <w:szCs w:val="28"/>
        </w:rPr>
      </w:pPr>
    </w:p>
    <w:tbl>
      <w:tblPr>
        <w:tblStyle w:val="TableGrid"/>
        <w:tblW w:w="0" w:type="auto"/>
        <w:tblLook w:val="04A0" w:firstRow="1" w:lastRow="0" w:firstColumn="1" w:lastColumn="0" w:noHBand="0" w:noVBand="1"/>
      </w:tblPr>
      <w:tblGrid>
        <w:gridCol w:w="4508"/>
        <w:gridCol w:w="4508"/>
      </w:tblGrid>
      <w:tr w:rsidR="003257D1" w14:paraId="5BA90023" w14:textId="77777777" w:rsidTr="003257D1">
        <w:tc>
          <w:tcPr>
            <w:tcW w:w="4508" w:type="dxa"/>
            <w:hideMark/>
          </w:tcPr>
          <w:p w14:paraId="2F4F51DA" w14:textId="77777777" w:rsidR="003257D1" w:rsidRDefault="003257D1">
            <w:pPr>
              <w:rPr>
                <w:rFonts w:ascii="Arial" w:hAnsi="Arial" w:cs="Arial"/>
                <w:b/>
                <w:bCs/>
                <w:sz w:val="28"/>
                <w:szCs w:val="28"/>
              </w:rPr>
            </w:pPr>
            <w:r>
              <w:rPr>
                <w:rFonts w:ascii="Arial" w:hAnsi="Arial" w:cs="Arial"/>
                <w:b/>
                <w:bCs/>
                <w:sz w:val="28"/>
                <w:szCs w:val="28"/>
              </w:rPr>
              <w:t>Meeting Schedule</w:t>
            </w:r>
          </w:p>
        </w:tc>
        <w:tc>
          <w:tcPr>
            <w:tcW w:w="4508" w:type="dxa"/>
          </w:tcPr>
          <w:p w14:paraId="1103D903" w14:textId="77777777" w:rsidR="003257D1" w:rsidRDefault="003257D1">
            <w:pPr>
              <w:rPr>
                <w:rFonts w:ascii="Arial" w:hAnsi="Arial" w:cs="Arial"/>
                <w:sz w:val="28"/>
                <w:szCs w:val="28"/>
              </w:rPr>
            </w:pPr>
          </w:p>
        </w:tc>
      </w:tr>
      <w:tr w:rsidR="003257D1" w14:paraId="12B589F4" w14:textId="77777777" w:rsidTr="003257D1">
        <w:tc>
          <w:tcPr>
            <w:tcW w:w="4508" w:type="dxa"/>
            <w:hideMark/>
          </w:tcPr>
          <w:p w14:paraId="7D771375" w14:textId="77777777" w:rsidR="003257D1" w:rsidRDefault="003257D1">
            <w:pPr>
              <w:rPr>
                <w:rFonts w:ascii="Arial" w:hAnsi="Arial" w:cs="Arial"/>
                <w:sz w:val="28"/>
                <w:szCs w:val="28"/>
              </w:rPr>
            </w:pPr>
            <w:r>
              <w:rPr>
                <w:rFonts w:ascii="Arial" w:hAnsi="Arial" w:cs="Arial"/>
                <w:sz w:val="28"/>
                <w:szCs w:val="28"/>
              </w:rPr>
              <w:t>Senior Leadership Team</w:t>
            </w:r>
          </w:p>
        </w:tc>
        <w:tc>
          <w:tcPr>
            <w:tcW w:w="4508" w:type="dxa"/>
          </w:tcPr>
          <w:p w14:paraId="5C325A0D" w14:textId="746D8059" w:rsidR="003257D1" w:rsidRDefault="003438BD">
            <w:pPr>
              <w:rPr>
                <w:rFonts w:ascii="Arial" w:hAnsi="Arial" w:cs="Arial"/>
                <w:sz w:val="28"/>
                <w:szCs w:val="28"/>
              </w:rPr>
            </w:pPr>
            <w:r>
              <w:rPr>
                <w:rFonts w:ascii="Arial" w:hAnsi="Arial" w:cs="Arial"/>
                <w:sz w:val="28"/>
                <w:szCs w:val="28"/>
              </w:rPr>
              <w:t>N/A</w:t>
            </w:r>
          </w:p>
        </w:tc>
      </w:tr>
      <w:tr w:rsidR="003257D1" w14:paraId="0498D33D" w14:textId="77777777" w:rsidTr="003257D1">
        <w:tc>
          <w:tcPr>
            <w:tcW w:w="4508" w:type="dxa"/>
            <w:hideMark/>
          </w:tcPr>
          <w:p w14:paraId="597A1853" w14:textId="77777777" w:rsidR="003257D1" w:rsidRDefault="003257D1">
            <w:pPr>
              <w:rPr>
                <w:rFonts w:ascii="Arial" w:hAnsi="Arial" w:cs="Arial"/>
                <w:sz w:val="28"/>
                <w:szCs w:val="28"/>
              </w:rPr>
            </w:pPr>
            <w:r>
              <w:rPr>
                <w:rFonts w:ascii="Arial" w:hAnsi="Arial" w:cs="Arial"/>
                <w:sz w:val="28"/>
                <w:szCs w:val="28"/>
              </w:rPr>
              <w:t>Cabinet Members Briefing</w:t>
            </w:r>
          </w:p>
        </w:tc>
        <w:tc>
          <w:tcPr>
            <w:tcW w:w="4508" w:type="dxa"/>
          </w:tcPr>
          <w:p w14:paraId="3C041B51" w14:textId="3E686767" w:rsidR="003257D1" w:rsidRDefault="003438BD">
            <w:pPr>
              <w:rPr>
                <w:rFonts w:ascii="Arial" w:hAnsi="Arial" w:cs="Arial"/>
                <w:sz w:val="28"/>
                <w:szCs w:val="28"/>
              </w:rPr>
            </w:pPr>
            <w:r>
              <w:rPr>
                <w:rFonts w:ascii="Arial" w:hAnsi="Arial" w:cs="Arial"/>
                <w:sz w:val="28"/>
                <w:szCs w:val="28"/>
              </w:rPr>
              <w:t>N/A</w:t>
            </w:r>
          </w:p>
        </w:tc>
      </w:tr>
      <w:tr w:rsidR="003257D1" w14:paraId="0B837BF0" w14:textId="77777777" w:rsidTr="003257D1">
        <w:tc>
          <w:tcPr>
            <w:tcW w:w="4508" w:type="dxa"/>
            <w:hideMark/>
          </w:tcPr>
          <w:p w14:paraId="75EC7258" w14:textId="77777777" w:rsidR="003257D1" w:rsidRDefault="003257D1">
            <w:pPr>
              <w:rPr>
                <w:rFonts w:ascii="Arial" w:hAnsi="Arial" w:cs="Arial"/>
                <w:sz w:val="28"/>
                <w:szCs w:val="28"/>
              </w:rPr>
            </w:pPr>
            <w:r>
              <w:rPr>
                <w:rFonts w:ascii="Arial" w:hAnsi="Arial" w:cs="Arial"/>
                <w:sz w:val="28"/>
                <w:szCs w:val="28"/>
              </w:rPr>
              <w:t>Scrutiny</w:t>
            </w:r>
          </w:p>
        </w:tc>
        <w:tc>
          <w:tcPr>
            <w:tcW w:w="4508" w:type="dxa"/>
          </w:tcPr>
          <w:p w14:paraId="0AEB9A1A" w14:textId="7274228D" w:rsidR="003257D1" w:rsidRDefault="00D661A3">
            <w:pPr>
              <w:rPr>
                <w:rFonts w:ascii="Arial" w:hAnsi="Arial" w:cs="Arial"/>
                <w:sz w:val="28"/>
                <w:szCs w:val="28"/>
              </w:rPr>
            </w:pPr>
            <w:r>
              <w:rPr>
                <w:rFonts w:ascii="Arial" w:hAnsi="Arial" w:cs="Arial"/>
                <w:sz w:val="28"/>
                <w:szCs w:val="28"/>
              </w:rPr>
              <w:t>26</w:t>
            </w:r>
            <w:r w:rsidRPr="00D661A3">
              <w:rPr>
                <w:rFonts w:ascii="Arial" w:hAnsi="Arial" w:cs="Arial"/>
                <w:sz w:val="28"/>
                <w:szCs w:val="28"/>
                <w:vertAlign w:val="superscript"/>
              </w:rPr>
              <w:t>th</w:t>
            </w:r>
            <w:r>
              <w:rPr>
                <w:rFonts w:ascii="Arial" w:hAnsi="Arial" w:cs="Arial"/>
                <w:sz w:val="28"/>
                <w:szCs w:val="28"/>
              </w:rPr>
              <w:t xml:space="preserve"> February 2026</w:t>
            </w:r>
          </w:p>
        </w:tc>
      </w:tr>
      <w:tr w:rsidR="003257D1" w14:paraId="512CA9A8" w14:textId="77777777" w:rsidTr="003257D1">
        <w:tc>
          <w:tcPr>
            <w:tcW w:w="4508" w:type="dxa"/>
            <w:hideMark/>
          </w:tcPr>
          <w:p w14:paraId="4E366B45" w14:textId="02BF141E" w:rsidR="003257D1" w:rsidRDefault="003438BD">
            <w:pPr>
              <w:rPr>
                <w:rFonts w:ascii="Arial" w:hAnsi="Arial" w:cs="Arial"/>
                <w:sz w:val="28"/>
                <w:szCs w:val="28"/>
              </w:rPr>
            </w:pPr>
            <w:r>
              <w:rPr>
                <w:rFonts w:ascii="Arial" w:hAnsi="Arial" w:cs="Arial"/>
                <w:sz w:val="28"/>
                <w:szCs w:val="28"/>
              </w:rPr>
              <w:t xml:space="preserve">Single </w:t>
            </w:r>
            <w:r w:rsidR="003257D1">
              <w:rPr>
                <w:rFonts w:ascii="Arial" w:hAnsi="Arial" w:cs="Arial"/>
                <w:sz w:val="28"/>
                <w:szCs w:val="28"/>
              </w:rPr>
              <w:t>Cabinet</w:t>
            </w:r>
            <w:r>
              <w:rPr>
                <w:rFonts w:ascii="Arial" w:hAnsi="Arial" w:cs="Arial"/>
                <w:sz w:val="28"/>
                <w:szCs w:val="28"/>
              </w:rPr>
              <w:t xml:space="preserve"> Member Decision</w:t>
            </w:r>
          </w:p>
        </w:tc>
        <w:tc>
          <w:tcPr>
            <w:tcW w:w="4508" w:type="dxa"/>
          </w:tcPr>
          <w:p w14:paraId="18BE220A" w14:textId="76E4B291" w:rsidR="003257D1" w:rsidRDefault="003438BD">
            <w:pPr>
              <w:rPr>
                <w:rFonts w:ascii="Arial" w:hAnsi="Arial" w:cs="Arial"/>
                <w:sz w:val="28"/>
                <w:szCs w:val="28"/>
              </w:rPr>
            </w:pPr>
            <w:r>
              <w:rPr>
                <w:rFonts w:ascii="Arial" w:hAnsi="Arial" w:cs="Arial"/>
                <w:sz w:val="28"/>
                <w:szCs w:val="28"/>
              </w:rPr>
              <w:t>19</w:t>
            </w:r>
            <w:r w:rsidRPr="003438BD">
              <w:rPr>
                <w:rFonts w:ascii="Arial" w:hAnsi="Arial" w:cs="Arial"/>
                <w:sz w:val="28"/>
                <w:szCs w:val="28"/>
                <w:vertAlign w:val="superscript"/>
              </w:rPr>
              <w:t>th</w:t>
            </w:r>
            <w:r>
              <w:rPr>
                <w:rFonts w:ascii="Arial" w:hAnsi="Arial" w:cs="Arial"/>
                <w:sz w:val="28"/>
                <w:szCs w:val="28"/>
              </w:rPr>
              <w:t xml:space="preserve"> March 2026</w:t>
            </w:r>
          </w:p>
        </w:tc>
      </w:tr>
      <w:tr w:rsidR="003257D1" w14:paraId="40F13A67" w14:textId="77777777" w:rsidTr="003257D1">
        <w:tc>
          <w:tcPr>
            <w:tcW w:w="4508" w:type="dxa"/>
            <w:hideMark/>
          </w:tcPr>
          <w:p w14:paraId="39756B92" w14:textId="77777777" w:rsidR="003257D1" w:rsidRDefault="003257D1">
            <w:pPr>
              <w:rPr>
                <w:rFonts w:ascii="Arial" w:hAnsi="Arial" w:cs="Arial"/>
                <w:sz w:val="28"/>
                <w:szCs w:val="28"/>
              </w:rPr>
            </w:pPr>
            <w:r>
              <w:rPr>
                <w:rFonts w:ascii="Arial" w:hAnsi="Arial" w:cs="Arial"/>
                <w:sz w:val="28"/>
                <w:szCs w:val="28"/>
              </w:rPr>
              <w:t>Council</w:t>
            </w:r>
          </w:p>
        </w:tc>
        <w:tc>
          <w:tcPr>
            <w:tcW w:w="4508" w:type="dxa"/>
          </w:tcPr>
          <w:p w14:paraId="68AC9C33" w14:textId="562BAE21" w:rsidR="003257D1" w:rsidRDefault="003438BD">
            <w:pPr>
              <w:rPr>
                <w:rFonts w:ascii="Arial" w:hAnsi="Arial" w:cs="Arial"/>
                <w:sz w:val="28"/>
                <w:szCs w:val="28"/>
              </w:rPr>
            </w:pPr>
            <w:r>
              <w:rPr>
                <w:rFonts w:ascii="Arial" w:hAnsi="Arial" w:cs="Arial"/>
                <w:sz w:val="28"/>
                <w:szCs w:val="28"/>
              </w:rPr>
              <w:t>N/A</w:t>
            </w:r>
          </w:p>
        </w:tc>
      </w:tr>
      <w:tr w:rsidR="00961687" w:rsidRPr="002B2655" w14:paraId="692B8DFA" w14:textId="77777777" w:rsidTr="00961687">
        <w:tc>
          <w:tcPr>
            <w:tcW w:w="4508" w:type="dxa"/>
          </w:tcPr>
          <w:p w14:paraId="3BE27773" w14:textId="7C4F7B15" w:rsidR="00961687" w:rsidRPr="002B2655" w:rsidRDefault="00961687">
            <w:pPr>
              <w:rPr>
                <w:rFonts w:ascii="Arial" w:hAnsi="Arial" w:cs="Arial"/>
                <w:b/>
                <w:bCs/>
                <w:sz w:val="28"/>
                <w:szCs w:val="28"/>
              </w:rPr>
            </w:pPr>
            <w:r w:rsidRPr="002B2655">
              <w:rPr>
                <w:rFonts w:ascii="Arial" w:hAnsi="Arial" w:cs="Arial"/>
                <w:b/>
                <w:bCs/>
                <w:sz w:val="28"/>
                <w:szCs w:val="28"/>
              </w:rPr>
              <w:t>Purpose of Report</w:t>
            </w:r>
          </w:p>
        </w:tc>
        <w:tc>
          <w:tcPr>
            <w:tcW w:w="4508" w:type="dxa"/>
          </w:tcPr>
          <w:p w14:paraId="7A0D3EB5" w14:textId="732F1E8F" w:rsidR="00961687" w:rsidRPr="002B2655" w:rsidRDefault="00EC6A61">
            <w:pPr>
              <w:rPr>
                <w:rFonts w:ascii="Arial" w:hAnsi="Arial" w:cs="Arial"/>
                <w:sz w:val="28"/>
                <w:szCs w:val="28"/>
              </w:rPr>
            </w:pPr>
            <w:r w:rsidRPr="00EC6A61">
              <w:rPr>
                <w:rFonts w:ascii="Arial" w:hAnsi="Arial" w:cs="Arial"/>
                <w:sz w:val="28"/>
                <w:szCs w:val="28"/>
              </w:rPr>
              <w:t xml:space="preserve">The purpose of this report is to </w:t>
            </w:r>
            <w:r w:rsidR="00F553E0">
              <w:rPr>
                <w:rFonts w:ascii="Arial" w:hAnsi="Arial" w:cs="Arial"/>
                <w:sz w:val="28"/>
                <w:szCs w:val="28"/>
              </w:rPr>
              <w:t xml:space="preserve">provide Members with </w:t>
            </w:r>
            <w:r w:rsidRPr="00EC6A61">
              <w:rPr>
                <w:rFonts w:ascii="Arial" w:hAnsi="Arial" w:cs="Arial"/>
                <w:sz w:val="28"/>
                <w:szCs w:val="28"/>
              </w:rPr>
              <w:t>the Social Partnership Duty Annual Report</w:t>
            </w:r>
            <w:r w:rsidR="00F553E0">
              <w:rPr>
                <w:rFonts w:ascii="Arial" w:hAnsi="Arial" w:cs="Arial"/>
                <w:sz w:val="28"/>
                <w:szCs w:val="28"/>
              </w:rPr>
              <w:t xml:space="preserve"> prior</w:t>
            </w:r>
            <w:r w:rsidRPr="00EC6A61">
              <w:rPr>
                <w:rFonts w:ascii="Arial" w:hAnsi="Arial" w:cs="Arial"/>
                <w:sz w:val="28"/>
                <w:szCs w:val="28"/>
              </w:rPr>
              <w:t xml:space="preserve"> to </w:t>
            </w:r>
            <w:r w:rsidR="00F553E0" w:rsidRPr="00EC6A61">
              <w:rPr>
                <w:rFonts w:ascii="Arial" w:hAnsi="Arial" w:cs="Arial"/>
                <w:sz w:val="28"/>
                <w:szCs w:val="28"/>
              </w:rPr>
              <w:t>submi</w:t>
            </w:r>
            <w:r w:rsidR="00F553E0">
              <w:rPr>
                <w:rFonts w:ascii="Arial" w:hAnsi="Arial" w:cs="Arial"/>
                <w:sz w:val="28"/>
                <w:szCs w:val="28"/>
              </w:rPr>
              <w:t>ssion</w:t>
            </w:r>
            <w:r w:rsidRPr="00EC6A61">
              <w:rPr>
                <w:rFonts w:ascii="Arial" w:hAnsi="Arial" w:cs="Arial"/>
                <w:sz w:val="28"/>
                <w:szCs w:val="28"/>
              </w:rPr>
              <w:t> to the Social Partnership Council for scrutiny. </w:t>
            </w:r>
          </w:p>
        </w:tc>
      </w:tr>
      <w:tr w:rsidR="00961687" w:rsidRPr="002B2655" w14:paraId="11800A65" w14:textId="77777777" w:rsidTr="00961687">
        <w:tc>
          <w:tcPr>
            <w:tcW w:w="4508" w:type="dxa"/>
          </w:tcPr>
          <w:p w14:paraId="46F2A323" w14:textId="2E28F888" w:rsidR="00961687" w:rsidRPr="002B2655" w:rsidRDefault="00961687">
            <w:pPr>
              <w:rPr>
                <w:rFonts w:ascii="Arial" w:hAnsi="Arial" w:cs="Arial"/>
                <w:b/>
                <w:bCs/>
                <w:sz w:val="28"/>
                <w:szCs w:val="28"/>
              </w:rPr>
            </w:pPr>
            <w:r w:rsidRPr="002B2655">
              <w:rPr>
                <w:rFonts w:ascii="Arial" w:hAnsi="Arial" w:cs="Arial"/>
                <w:b/>
                <w:bCs/>
                <w:sz w:val="28"/>
                <w:szCs w:val="28"/>
              </w:rPr>
              <w:lastRenderedPageBreak/>
              <w:t>Reason for Report</w:t>
            </w:r>
          </w:p>
        </w:tc>
        <w:tc>
          <w:tcPr>
            <w:tcW w:w="4508" w:type="dxa"/>
          </w:tcPr>
          <w:p w14:paraId="19867B72" w14:textId="0238F7C5" w:rsidR="00EC6A61" w:rsidRPr="00EC6A61" w:rsidRDefault="00EC6A61" w:rsidP="0054443E">
            <w:pPr>
              <w:rPr>
                <w:rFonts w:ascii="Arial" w:hAnsi="Arial" w:cs="Arial"/>
                <w:sz w:val="28"/>
                <w:szCs w:val="28"/>
              </w:rPr>
            </w:pPr>
            <w:r w:rsidRPr="00EC6A61">
              <w:rPr>
                <w:rFonts w:ascii="Arial" w:hAnsi="Arial" w:cs="Arial"/>
                <w:sz w:val="28"/>
                <w:szCs w:val="28"/>
              </w:rPr>
              <w:t xml:space="preserve">The Social Partnership and Public Procurement (Wales) Act 2023 (The </w:t>
            </w:r>
            <w:r>
              <w:rPr>
                <w:rFonts w:ascii="Arial" w:hAnsi="Arial" w:cs="Arial"/>
                <w:sz w:val="28"/>
                <w:szCs w:val="28"/>
              </w:rPr>
              <w:t>S</w:t>
            </w:r>
            <w:r w:rsidRPr="00EC6A61">
              <w:rPr>
                <w:rFonts w:ascii="Arial" w:hAnsi="Arial" w:cs="Arial"/>
                <w:sz w:val="28"/>
                <w:szCs w:val="28"/>
              </w:rPr>
              <w:t xml:space="preserve">PPP) requires the council, as a public body, to produce an annual report to evidence how they have complied with the Social Partnership Duty.  This report must be submitted to the Social Partnership Council (SCP) for scrutiny. </w:t>
            </w:r>
          </w:p>
          <w:p w14:paraId="65693E18" w14:textId="0B73A3DA" w:rsidR="00961687" w:rsidRPr="002B2655" w:rsidRDefault="00961687" w:rsidP="00EC6A61">
            <w:pPr>
              <w:rPr>
                <w:rFonts w:ascii="Arial" w:hAnsi="Arial" w:cs="Arial"/>
                <w:sz w:val="28"/>
                <w:szCs w:val="28"/>
              </w:rPr>
            </w:pPr>
          </w:p>
        </w:tc>
      </w:tr>
      <w:tr w:rsidR="00961687" w:rsidRPr="002B2655" w14:paraId="26BEBA4E" w14:textId="77777777" w:rsidTr="00961687">
        <w:tc>
          <w:tcPr>
            <w:tcW w:w="4508" w:type="dxa"/>
          </w:tcPr>
          <w:p w14:paraId="43F677FE" w14:textId="5F84DBAF" w:rsidR="00961687" w:rsidRPr="002B2655" w:rsidRDefault="00961687">
            <w:pPr>
              <w:rPr>
                <w:rFonts w:ascii="Arial" w:hAnsi="Arial" w:cs="Arial"/>
                <w:b/>
                <w:bCs/>
                <w:sz w:val="28"/>
                <w:szCs w:val="28"/>
              </w:rPr>
            </w:pPr>
            <w:r w:rsidRPr="002B2655">
              <w:rPr>
                <w:rFonts w:ascii="Arial" w:hAnsi="Arial" w:cs="Arial"/>
                <w:b/>
                <w:bCs/>
                <w:sz w:val="28"/>
                <w:szCs w:val="28"/>
              </w:rPr>
              <w:t>Recommendation / Decision Required</w:t>
            </w:r>
          </w:p>
        </w:tc>
        <w:tc>
          <w:tcPr>
            <w:tcW w:w="4508" w:type="dxa"/>
          </w:tcPr>
          <w:p w14:paraId="616625A3" w14:textId="5CDE80F7" w:rsidR="00961687" w:rsidRPr="002B2655" w:rsidRDefault="00F553E0" w:rsidP="00EC6A61">
            <w:pPr>
              <w:rPr>
                <w:rFonts w:ascii="Arial" w:hAnsi="Arial" w:cs="Arial"/>
                <w:sz w:val="28"/>
                <w:szCs w:val="28"/>
              </w:rPr>
            </w:pPr>
            <w:r>
              <w:rPr>
                <w:rFonts w:ascii="Arial" w:hAnsi="Arial" w:cs="Arial"/>
                <w:sz w:val="28"/>
                <w:szCs w:val="28"/>
              </w:rPr>
              <w:t>For information</w:t>
            </w:r>
            <w:r w:rsidR="00EC6A61" w:rsidRPr="00EC6A61">
              <w:rPr>
                <w:rFonts w:ascii="Arial" w:hAnsi="Arial" w:cs="Arial"/>
                <w:sz w:val="28"/>
                <w:szCs w:val="28"/>
              </w:rPr>
              <w:t> </w:t>
            </w:r>
          </w:p>
        </w:tc>
      </w:tr>
      <w:tr w:rsidR="00961687" w:rsidRPr="002B2655" w14:paraId="5F0E38B9" w14:textId="77777777" w:rsidTr="00961687">
        <w:tc>
          <w:tcPr>
            <w:tcW w:w="4508" w:type="dxa"/>
          </w:tcPr>
          <w:p w14:paraId="2E613124" w14:textId="641D5F10" w:rsidR="00961687" w:rsidRPr="002B2655" w:rsidRDefault="00961687">
            <w:pPr>
              <w:rPr>
                <w:rFonts w:ascii="Arial" w:hAnsi="Arial" w:cs="Arial"/>
                <w:b/>
                <w:bCs/>
                <w:sz w:val="28"/>
                <w:szCs w:val="28"/>
              </w:rPr>
            </w:pPr>
            <w:r w:rsidRPr="002B2655">
              <w:rPr>
                <w:rFonts w:ascii="Arial" w:hAnsi="Arial" w:cs="Arial"/>
                <w:b/>
                <w:bCs/>
                <w:sz w:val="28"/>
                <w:szCs w:val="28"/>
              </w:rPr>
              <w:t>Implementation</w:t>
            </w:r>
          </w:p>
        </w:tc>
        <w:tc>
          <w:tcPr>
            <w:tcW w:w="4508" w:type="dxa"/>
          </w:tcPr>
          <w:p w14:paraId="61A70240" w14:textId="6B860C7A" w:rsidR="00961687" w:rsidRPr="002B2655" w:rsidRDefault="00F553E0">
            <w:pPr>
              <w:rPr>
                <w:rFonts w:ascii="Arial" w:hAnsi="Arial" w:cs="Arial"/>
                <w:sz w:val="28"/>
                <w:szCs w:val="28"/>
              </w:rPr>
            </w:pPr>
            <w:r>
              <w:rPr>
                <w:rFonts w:ascii="Arial" w:hAnsi="Arial" w:cs="Arial"/>
                <w:sz w:val="28"/>
                <w:szCs w:val="28"/>
              </w:rPr>
              <w:t>N/A</w:t>
            </w:r>
          </w:p>
        </w:tc>
      </w:tr>
    </w:tbl>
    <w:p w14:paraId="3FBE5D87" w14:textId="3222831F" w:rsidR="002B2B83" w:rsidRPr="002B2655" w:rsidRDefault="002B2B83">
      <w:pPr>
        <w:rPr>
          <w:rFonts w:ascii="Arial" w:hAnsi="Arial" w:cs="Arial"/>
          <w:sz w:val="28"/>
          <w:szCs w:val="28"/>
        </w:rPr>
      </w:pPr>
    </w:p>
    <w:p w14:paraId="694E7BC8" w14:textId="77777777" w:rsidR="007D1B5B" w:rsidRPr="002B2655" w:rsidRDefault="007D1B5B">
      <w:pPr>
        <w:rPr>
          <w:rFonts w:ascii="Arial" w:hAnsi="Arial" w:cs="Arial"/>
          <w:sz w:val="28"/>
          <w:szCs w:val="28"/>
        </w:rPr>
      </w:pPr>
    </w:p>
    <w:tbl>
      <w:tblPr>
        <w:tblStyle w:val="TableGrid"/>
        <w:tblW w:w="0" w:type="auto"/>
        <w:tblLook w:val="04A0" w:firstRow="1" w:lastRow="0" w:firstColumn="1" w:lastColumn="0" w:noHBand="0" w:noVBand="1"/>
      </w:tblPr>
      <w:tblGrid>
        <w:gridCol w:w="9016"/>
      </w:tblGrid>
      <w:tr w:rsidR="00961687" w:rsidRPr="002B2655" w14:paraId="3A4BA5F5" w14:textId="77777777" w:rsidTr="00961687">
        <w:tc>
          <w:tcPr>
            <w:tcW w:w="9016" w:type="dxa"/>
          </w:tcPr>
          <w:p w14:paraId="7C7A27ED" w14:textId="77777777" w:rsidR="00961687" w:rsidRPr="002B2655" w:rsidRDefault="00961687">
            <w:pPr>
              <w:rPr>
                <w:rFonts w:ascii="Arial" w:hAnsi="Arial" w:cs="Arial"/>
                <w:b/>
                <w:bCs/>
                <w:sz w:val="28"/>
                <w:szCs w:val="28"/>
              </w:rPr>
            </w:pPr>
            <w:r w:rsidRPr="002B2655">
              <w:rPr>
                <w:rFonts w:ascii="Arial" w:hAnsi="Arial" w:cs="Arial"/>
                <w:b/>
                <w:bCs/>
                <w:sz w:val="28"/>
                <w:szCs w:val="28"/>
              </w:rPr>
              <w:t>Executive Summary</w:t>
            </w:r>
          </w:p>
          <w:p w14:paraId="5555D9A9" w14:textId="77777777" w:rsidR="00EC6A61" w:rsidRDefault="00EC6A61" w:rsidP="00EC6A61">
            <w:pPr>
              <w:jc w:val="both"/>
              <w:rPr>
                <w:rFonts w:ascii="Arial" w:hAnsi="Arial" w:cs="Arial"/>
                <w:sz w:val="28"/>
                <w:szCs w:val="28"/>
              </w:rPr>
            </w:pPr>
            <w:r w:rsidRPr="00EC6A61">
              <w:rPr>
                <w:rFonts w:ascii="Arial" w:hAnsi="Arial" w:cs="Arial"/>
                <w:sz w:val="28"/>
                <w:szCs w:val="28"/>
              </w:rPr>
              <w:t xml:space="preserve">The Social Partnership and Public Procurement (Wales) Act 2023 (The SPPP) requires the council, as a public body, to produce an annual report to evidence how they have complied with the Social Partnership Duty.  This report must be submitted to the Social Partnership Council (SCP) for scrutiny. </w:t>
            </w:r>
          </w:p>
          <w:p w14:paraId="6E7D4417" w14:textId="77777777" w:rsidR="00EC6A61" w:rsidRDefault="00EC6A61" w:rsidP="00EC6A61">
            <w:pPr>
              <w:jc w:val="both"/>
              <w:rPr>
                <w:rFonts w:ascii="Arial" w:hAnsi="Arial" w:cs="Arial"/>
                <w:sz w:val="28"/>
                <w:szCs w:val="28"/>
              </w:rPr>
            </w:pPr>
          </w:p>
          <w:p w14:paraId="405BEC83" w14:textId="598C17E3" w:rsidR="00EC6A61" w:rsidRPr="00EC6A61" w:rsidRDefault="00EC6A61" w:rsidP="00EC6A61">
            <w:pPr>
              <w:jc w:val="both"/>
              <w:rPr>
                <w:rFonts w:ascii="Arial" w:hAnsi="Arial" w:cs="Arial"/>
                <w:sz w:val="28"/>
                <w:szCs w:val="28"/>
              </w:rPr>
            </w:pPr>
            <w:r w:rsidRPr="00EC6A61">
              <w:rPr>
                <w:rFonts w:ascii="Arial" w:hAnsi="Arial" w:cs="Arial"/>
                <w:sz w:val="28"/>
                <w:szCs w:val="28"/>
              </w:rPr>
              <w:t>Section 18 of the Act states:  </w:t>
            </w:r>
          </w:p>
          <w:p w14:paraId="5FC1DE59" w14:textId="77777777" w:rsidR="00EC6A61" w:rsidRPr="00EC6A61" w:rsidRDefault="00EC6A61" w:rsidP="00EC6A61">
            <w:pPr>
              <w:jc w:val="both"/>
              <w:rPr>
                <w:rFonts w:ascii="Arial" w:hAnsi="Arial" w:cs="Arial"/>
                <w:sz w:val="28"/>
                <w:szCs w:val="28"/>
              </w:rPr>
            </w:pPr>
          </w:p>
          <w:p w14:paraId="42074376" w14:textId="746ED0D7" w:rsidR="00EC6A61" w:rsidRPr="00EC6A61" w:rsidRDefault="00EC6A61" w:rsidP="00EC6A61">
            <w:pPr>
              <w:pStyle w:val="ListParagraph"/>
              <w:numPr>
                <w:ilvl w:val="0"/>
                <w:numId w:val="6"/>
              </w:numPr>
              <w:jc w:val="both"/>
              <w:rPr>
                <w:rFonts w:ascii="Arial" w:hAnsi="Arial" w:cs="Arial"/>
                <w:sz w:val="28"/>
                <w:szCs w:val="28"/>
              </w:rPr>
            </w:pPr>
            <w:r w:rsidRPr="00EC6A61">
              <w:rPr>
                <w:rFonts w:ascii="Arial" w:hAnsi="Arial" w:cs="Arial"/>
                <w:sz w:val="28"/>
                <w:szCs w:val="28"/>
              </w:rPr>
              <w:t>A public body must prepare, in respect of each financial year, a report of what it has done to comply with the duty. </w:t>
            </w:r>
          </w:p>
          <w:p w14:paraId="2BB3D3DE" w14:textId="5AADCA5B" w:rsidR="00EC6A61" w:rsidRDefault="00EC6A61" w:rsidP="00FB6EEC">
            <w:pPr>
              <w:pStyle w:val="ListParagraph"/>
              <w:numPr>
                <w:ilvl w:val="0"/>
                <w:numId w:val="6"/>
              </w:numPr>
              <w:jc w:val="both"/>
              <w:rPr>
                <w:rFonts w:ascii="Arial" w:hAnsi="Arial" w:cs="Arial"/>
                <w:sz w:val="28"/>
                <w:szCs w:val="28"/>
              </w:rPr>
            </w:pPr>
            <w:r w:rsidRPr="00EC6A61">
              <w:rPr>
                <w:rFonts w:ascii="Arial" w:hAnsi="Arial" w:cs="Arial"/>
                <w:sz w:val="28"/>
                <w:szCs w:val="28"/>
              </w:rPr>
              <w:t>The report must be agreed with the public body’s recognised trade unions or (where there is no recognised trade union) other representatives of its </w:t>
            </w:r>
            <w:proofErr w:type="spellStart"/>
            <w:proofErr w:type="gramStart"/>
            <w:r w:rsidRPr="00EC6A61">
              <w:rPr>
                <w:rFonts w:ascii="Arial" w:hAnsi="Arial" w:cs="Arial"/>
                <w:sz w:val="28"/>
                <w:szCs w:val="28"/>
              </w:rPr>
              <w:t>staff,or</w:t>
            </w:r>
            <w:proofErr w:type="spellEnd"/>
            <w:proofErr w:type="gramEnd"/>
            <w:r w:rsidRPr="00EC6A61">
              <w:rPr>
                <w:rFonts w:ascii="Arial" w:hAnsi="Arial" w:cs="Arial"/>
                <w:sz w:val="28"/>
                <w:szCs w:val="28"/>
              </w:rPr>
              <w:t> contain a statement explaining why it was not agreed. </w:t>
            </w:r>
          </w:p>
          <w:p w14:paraId="2CD3C8DC" w14:textId="4EF9F012" w:rsidR="00EC6A61" w:rsidRPr="00EC6A61" w:rsidRDefault="00EC6A61" w:rsidP="009F50ED">
            <w:pPr>
              <w:pStyle w:val="ListParagraph"/>
              <w:numPr>
                <w:ilvl w:val="0"/>
                <w:numId w:val="6"/>
              </w:numPr>
              <w:jc w:val="both"/>
              <w:rPr>
                <w:rFonts w:ascii="Arial" w:hAnsi="Arial" w:cs="Arial"/>
                <w:sz w:val="28"/>
                <w:szCs w:val="28"/>
              </w:rPr>
            </w:pPr>
            <w:r w:rsidRPr="00EC6A61">
              <w:rPr>
                <w:rFonts w:ascii="Arial" w:hAnsi="Arial" w:cs="Arial"/>
                <w:sz w:val="28"/>
                <w:szCs w:val="28"/>
              </w:rPr>
              <w:t>The public body must publish the report, and submit it to the SPC, as soon as reasonably practicable after the end of the financial year.  </w:t>
            </w:r>
          </w:p>
          <w:p w14:paraId="53CD7843"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 </w:t>
            </w:r>
          </w:p>
          <w:p w14:paraId="3F083E52" w14:textId="1A48C4AC" w:rsidR="00961687" w:rsidRPr="002B2655" w:rsidRDefault="00EC6A61" w:rsidP="00EC6A61">
            <w:pPr>
              <w:jc w:val="both"/>
              <w:rPr>
                <w:rFonts w:ascii="Arial" w:hAnsi="Arial" w:cs="Arial"/>
                <w:sz w:val="28"/>
                <w:szCs w:val="28"/>
              </w:rPr>
            </w:pPr>
            <w:r w:rsidRPr="00EC6A61">
              <w:rPr>
                <w:rFonts w:ascii="Arial" w:hAnsi="Arial" w:cs="Arial"/>
                <w:sz w:val="28"/>
                <w:szCs w:val="28"/>
              </w:rPr>
              <w:t>The SPPP Act does not provide a template for the Annual Report.  This report summarises the actions taken with the council’s recognised trade unions to implement the duty in Neath Port Talbot Council. </w:t>
            </w:r>
          </w:p>
        </w:tc>
      </w:tr>
    </w:tbl>
    <w:p w14:paraId="6F24730D" w14:textId="77777777" w:rsidR="00F553E0" w:rsidRDefault="00F553E0">
      <w:pPr>
        <w:rPr>
          <w:rFonts w:ascii="Arial" w:hAnsi="Arial" w:cs="Arial"/>
          <w:b/>
          <w:bCs/>
          <w:sz w:val="28"/>
          <w:szCs w:val="28"/>
        </w:rPr>
      </w:pPr>
    </w:p>
    <w:p w14:paraId="1E384BA4" w14:textId="77777777" w:rsidR="00F553E0" w:rsidRDefault="00F553E0">
      <w:pPr>
        <w:rPr>
          <w:rFonts w:ascii="Arial" w:hAnsi="Arial" w:cs="Arial"/>
          <w:b/>
          <w:bCs/>
          <w:sz w:val="28"/>
          <w:szCs w:val="28"/>
        </w:rPr>
      </w:pPr>
      <w:r>
        <w:rPr>
          <w:rFonts w:ascii="Arial" w:hAnsi="Arial" w:cs="Arial"/>
          <w:b/>
          <w:bCs/>
          <w:sz w:val="28"/>
          <w:szCs w:val="28"/>
        </w:rPr>
        <w:br w:type="page"/>
      </w:r>
    </w:p>
    <w:p w14:paraId="60DE7884" w14:textId="645EA6F7" w:rsidR="00961687" w:rsidRPr="002B2655" w:rsidRDefault="00961687">
      <w:pPr>
        <w:rPr>
          <w:rFonts w:ascii="Arial" w:hAnsi="Arial" w:cs="Arial"/>
          <w:b/>
          <w:bCs/>
          <w:sz w:val="28"/>
          <w:szCs w:val="28"/>
        </w:rPr>
      </w:pPr>
      <w:r w:rsidRPr="002B2655">
        <w:rPr>
          <w:rFonts w:ascii="Arial" w:hAnsi="Arial" w:cs="Arial"/>
          <w:b/>
          <w:bCs/>
          <w:sz w:val="28"/>
          <w:szCs w:val="28"/>
        </w:rPr>
        <w:lastRenderedPageBreak/>
        <w:t>1.</w:t>
      </w:r>
      <w:r w:rsidRPr="002B2655">
        <w:rPr>
          <w:rFonts w:ascii="Arial" w:hAnsi="Arial" w:cs="Arial"/>
          <w:b/>
          <w:bCs/>
          <w:sz w:val="28"/>
          <w:szCs w:val="28"/>
        </w:rPr>
        <w:tab/>
        <w:t>Background</w:t>
      </w:r>
      <w:r w:rsidR="004D1AD3">
        <w:rPr>
          <w:rFonts w:ascii="Arial" w:hAnsi="Arial" w:cs="Arial"/>
          <w:b/>
          <w:bCs/>
          <w:sz w:val="28"/>
          <w:szCs w:val="28"/>
        </w:rPr>
        <w:t xml:space="preserve"> </w:t>
      </w:r>
    </w:p>
    <w:p w14:paraId="3B4CE6CB"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The SPPP Act provides for a framework to enhance the well-being of the people of Wales by improving public services through social partnership working, promoting fair work and </w:t>
      </w:r>
      <w:proofErr w:type="gramStart"/>
      <w:r w:rsidRPr="00EC6A61">
        <w:rPr>
          <w:rFonts w:ascii="Arial" w:hAnsi="Arial" w:cs="Arial"/>
          <w:sz w:val="28"/>
          <w:szCs w:val="28"/>
        </w:rPr>
        <w:t>social</w:t>
      </w:r>
      <w:proofErr w:type="gramEnd"/>
      <w:r w:rsidRPr="00EC6A61">
        <w:rPr>
          <w:rFonts w:ascii="Arial" w:hAnsi="Arial" w:cs="Arial"/>
          <w:sz w:val="28"/>
          <w:szCs w:val="28"/>
        </w:rPr>
        <w:t> responsible public procurement. It is intended to complement other legislation, including the Socio-economic Duty and the Well-being of Future Generations (Wales) Act 2015 (WFGA 2015).  </w:t>
      </w:r>
    </w:p>
    <w:p w14:paraId="103ED097"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The SPPP Act 2023 requires the council, in carrying out sustainable development, in so far as is reasonable, to seek consensus or compromise with their recognised trade unions, when setting their well-being objectives (in line with the Well-being of Future Generations (Wales) Act 2015) and making decisions of a strategic nature about the reasonable steps they intend to take to deliver those objectives set. </w:t>
      </w:r>
    </w:p>
    <w:p w14:paraId="4A869388" w14:textId="77777777" w:rsidR="00EC6A61" w:rsidRDefault="00EC6A61" w:rsidP="00EC6A61">
      <w:pPr>
        <w:jc w:val="both"/>
        <w:rPr>
          <w:rFonts w:ascii="Arial" w:hAnsi="Arial" w:cs="Arial"/>
          <w:sz w:val="28"/>
          <w:szCs w:val="28"/>
        </w:rPr>
      </w:pPr>
      <w:r w:rsidRPr="00EC6A61">
        <w:rPr>
          <w:rFonts w:ascii="Arial" w:hAnsi="Arial" w:cs="Arial"/>
          <w:sz w:val="28"/>
          <w:szCs w:val="28"/>
        </w:rPr>
        <w:t>Section 16(2) of the Act sets out a number of specific requirements relating to the Duty, which the council must comply with when ‘seeking consensus or compromise’. The requirements are intended to ensure that trade unions are fully and properly involved when a public body sets its well-being objectives, or when making strategic decisions.  </w:t>
      </w:r>
    </w:p>
    <w:p w14:paraId="54D4F856" w14:textId="74ADCC61" w:rsidR="00EC6A61" w:rsidRPr="00EC6A61" w:rsidRDefault="00EC6A61" w:rsidP="00EC6A61">
      <w:pPr>
        <w:jc w:val="both"/>
        <w:rPr>
          <w:rFonts w:ascii="Arial" w:hAnsi="Arial" w:cs="Arial"/>
          <w:sz w:val="28"/>
          <w:szCs w:val="28"/>
        </w:rPr>
      </w:pPr>
      <w:r w:rsidRPr="00EC6A61">
        <w:rPr>
          <w:rFonts w:ascii="Arial" w:hAnsi="Arial" w:cs="Arial"/>
          <w:sz w:val="28"/>
          <w:szCs w:val="28"/>
        </w:rPr>
        <w:t>It states that: in order to seek consensus or compromise, a public body must include its recognised trade unions or other representatives of its staff in the process of setting objectives or making decisions, by (in particular</w:t>
      </w:r>
      <w:proofErr w:type="gramStart"/>
      <w:r w:rsidRPr="00EC6A61">
        <w:rPr>
          <w:rFonts w:ascii="Arial" w:hAnsi="Arial" w:cs="Arial"/>
          <w:sz w:val="28"/>
          <w:szCs w:val="28"/>
        </w:rPr>
        <w:t>):-</w:t>
      </w:r>
      <w:proofErr w:type="gramEnd"/>
      <w:r w:rsidRPr="00EC6A61">
        <w:rPr>
          <w:rFonts w:ascii="Arial" w:hAnsi="Arial" w:cs="Arial"/>
          <w:sz w:val="28"/>
          <w:szCs w:val="28"/>
        </w:rPr>
        <w:t> </w:t>
      </w:r>
    </w:p>
    <w:p w14:paraId="0947E006"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(a) consulting them at a formative stage of the process, and </w:t>
      </w:r>
    </w:p>
    <w:p w14:paraId="256A056C"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(b) otherwise involving them throughout the process by: </w:t>
      </w:r>
    </w:p>
    <w:p w14:paraId="6F5EBF65"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(i) providing sufficient information to enable them to properly consider what is proposed, and  </w:t>
      </w:r>
    </w:p>
    <w:p w14:paraId="41C095B6" w14:textId="77777777" w:rsidR="00F553E0" w:rsidRDefault="00EC6A61" w:rsidP="0054443E">
      <w:pPr>
        <w:ind w:hanging="426"/>
        <w:jc w:val="both"/>
        <w:rPr>
          <w:rFonts w:ascii="Arial" w:hAnsi="Arial" w:cs="Arial"/>
          <w:sz w:val="28"/>
          <w:szCs w:val="28"/>
        </w:rPr>
      </w:pPr>
      <w:r w:rsidRPr="00EC6A61">
        <w:rPr>
          <w:rFonts w:ascii="Arial" w:hAnsi="Arial" w:cs="Arial"/>
          <w:sz w:val="28"/>
          <w:szCs w:val="28"/>
        </w:rPr>
        <w:t>(ii) providing sufficient time to enable them to adequately consider what is proposed and respond. </w:t>
      </w:r>
    </w:p>
    <w:p w14:paraId="078F8BDF" w14:textId="70BA9A5B" w:rsidR="00EC6A61" w:rsidRPr="00EC6A61" w:rsidRDefault="00C50AA0" w:rsidP="0054443E">
      <w:pPr>
        <w:ind w:hanging="426"/>
        <w:jc w:val="both"/>
        <w:rPr>
          <w:rFonts w:ascii="Arial" w:hAnsi="Arial" w:cs="Arial"/>
          <w:sz w:val="28"/>
          <w:szCs w:val="28"/>
        </w:rPr>
      </w:pPr>
      <w:r>
        <w:rPr>
          <w:rFonts w:ascii="Arial" w:hAnsi="Arial" w:cs="Arial"/>
          <w:b/>
          <w:bCs/>
          <w:sz w:val="28"/>
          <w:szCs w:val="28"/>
        </w:rPr>
        <w:t>2.</w:t>
      </w:r>
      <w:r w:rsidR="00EC6A61" w:rsidRPr="00EC6A61">
        <w:rPr>
          <w:rFonts w:ascii="Arial" w:hAnsi="Arial" w:cs="Arial"/>
          <w:b/>
          <w:bCs/>
          <w:sz w:val="28"/>
          <w:szCs w:val="28"/>
        </w:rPr>
        <w:t>Our Approach at Neath Port Talbot </w:t>
      </w:r>
      <w:r w:rsidR="00EC6A61" w:rsidRPr="00EC6A61">
        <w:rPr>
          <w:rFonts w:ascii="Arial" w:hAnsi="Arial" w:cs="Arial"/>
          <w:sz w:val="28"/>
          <w:szCs w:val="28"/>
        </w:rPr>
        <w:t> </w:t>
      </w:r>
    </w:p>
    <w:p w14:paraId="7FA811C6" w14:textId="40EE9448" w:rsidR="00EC6A61" w:rsidRDefault="00EC6A61" w:rsidP="00EC6A61">
      <w:pPr>
        <w:jc w:val="both"/>
        <w:rPr>
          <w:rFonts w:ascii="Arial" w:hAnsi="Arial" w:cs="Arial"/>
          <w:sz w:val="28"/>
          <w:szCs w:val="28"/>
        </w:rPr>
      </w:pPr>
      <w:r>
        <w:rPr>
          <w:rFonts w:ascii="Arial" w:hAnsi="Arial" w:cs="Arial"/>
          <w:sz w:val="28"/>
          <w:szCs w:val="28"/>
        </w:rPr>
        <w:t>In Neath Port Talbot we are very proud of our long</w:t>
      </w:r>
      <w:r w:rsidR="00A06E3B">
        <w:rPr>
          <w:rFonts w:ascii="Arial" w:hAnsi="Arial" w:cs="Arial"/>
          <w:sz w:val="28"/>
          <w:szCs w:val="28"/>
        </w:rPr>
        <w:t>-</w:t>
      </w:r>
      <w:r>
        <w:rPr>
          <w:rFonts w:ascii="Arial" w:hAnsi="Arial" w:cs="Arial"/>
          <w:sz w:val="28"/>
          <w:szCs w:val="28"/>
        </w:rPr>
        <w:t xml:space="preserve">standing partnership with our recognised trade unions, which has helped us to develop innovative and creative solutions to employment challenges.  This is a relationship we mutually work hard at maintaining, taking time to communicate with each other </w:t>
      </w:r>
      <w:r w:rsidR="00A06E3B">
        <w:rPr>
          <w:rFonts w:ascii="Arial" w:hAnsi="Arial" w:cs="Arial"/>
          <w:sz w:val="28"/>
          <w:szCs w:val="28"/>
        </w:rPr>
        <w:t xml:space="preserve">and sharing issues at the earliest opportunity. We consider our trade union partners as key to the delivery </w:t>
      </w:r>
      <w:r w:rsidR="00A06E3B">
        <w:rPr>
          <w:rFonts w:ascii="Arial" w:hAnsi="Arial" w:cs="Arial"/>
          <w:sz w:val="28"/>
          <w:szCs w:val="28"/>
        </w:rPr>
        <w:lastRenderedPageBreak/>
        <w:t xml:space="preserve">of our workforce </w:t>
      </w:r>
      <w:proofErr w:type="gramStart"/>
      <w:r w:rsidR="00A06E3B">
        <w:rPr>
          <w:rFonts w:ascii="Arial" w:hAnsi="Arial" w:cs="Arial"/>
          <w:sz w:val="28"/>
          <w:szCs w:val="28"/>
        </w:rPr>
        <w:t>strategies</w:t>
      </w:r>
      <w:proofErr w:type="gramEnd"/>
      <w:r w:rsidR="00A06E3B">
        <w:rPr>
          <w:rFonts w:ascii="Arial" w:hAnsi="Arial" w:cs="Arial"/>
          <w:sz w:val="28"/>
          <w:szCs w:val="28"/>
        </w:rPr>
        <w:t xml:space="preserve"> and we are committed to working together to ensure fairness and transparency in our approach.  </w:t>
      </w:r>
    </w:p>
    <w:p w14:paraId="7E2D0357" w14:textId="225918D2" w:rsidR="00A06E3B" w:rsidRPr="00EC6A61" w:rsidRDefault="00A06E3B" w:rsidP="00EC6A61">
      <w:pPr>
        <w:jc w:val="both"/>
        <w:rPr>
          <w:rFonts w:ascii="Arial" w:hAnsi="Arial" w:cs="Arial"/>
          <w:sz w:val="28"/>
          <w:szCs w:val="28"/>
        </w:rPr>
      </w:pPr>
      <w:r>
        <w:rPr>
          <w:rFonts w:ascii="Arial" w:hAnsi="Arial" w:cs="Arial"/>
          <w:sz w:val="28"/>
          <w:szCs w:val="28"/>
        </w:rPr>
        <w:t xml:space="preserve">As an example of what this approach looks like in reality, the Council has recently established an Artificial Intelligence (AI) Strategic Governance Board </w:t>
      </w:r>
      <w:r w:rsidRPr="00A06E3B">
        <w:rPr>
          <w:rFonts w:ascii="Arial" w:hAnsi="Arial" w:cs="Arial"/>
          <w:sz w:val="28"/>
          <w:szCs w:val="28"/>
        </w:rPr>
        <w:t>to ensure robust oversight, responsible adoption, and practical management of AI across all council services.</w:t>
      </w:r>
      <w:r>
        <w:rPr>
          <w:rFonts w:ascii="Arial" w:hAnsi="Arial" w:cs="Arial"/>
          <w:sz w:val="28"/>
          <w:szCs w:val="28"/>
        </w:rPr>
        <w:t xml:space="preserve">  The Board is committed to a</w:t>
      </w:r>
      <w:r w:rsidRPr="00A06E3B">
        <w:rPr>
          <w:rFonts w:ascii="Arial" w:hAnsi="Arial" w:cs="Arial"/>
          <w:sz w:val="28"/>
          <w:szCs w:val="28"/>
        </w:rPr>
        <w:t xml:space="preserve"> responsible, ethical, and transparent</w:t>
      </w:r>
      <w:r>
        <w:rPr>
          <w:rFonts w:ascii="Arial" w:hAnsi="Arial" w:cs="Arial"/>
          <w:sz w:val="28"/>
          <w:szCs w:val="28"/>
        </w:rPr>
        <w:t xml:space="preserve"> approach, and to this end, as well as representation across senior management, our trade union partners have nominated two representatives to join the Board.  This ensures that our trade union partners can work with us to help us shape the development of AI</w:t>
      </w:r>
      <w:r w:rsidR="00F41C5F">
        <w:rPr>
          <w:rFonts w:ascii="Arial" w:hAnsi="Arial" w:cs="Arial"/>
          <w:sz w:val="28"/>
          <w:szCs w:val="28"/>
        </w:rPr>
        <w:t xml:space="preserve"> strategy</w:t>
      </w:r>
      <w:r>
        <w:rPr>
          <w:rFonts w:ascii="Arial" w:hAnsi="Arial" w:cs="Arial"/>
          <w:sz w:val="28"/>
          <w:szCs w:val="28"/>
        </w:rPr>
        <w:t xml:space="preserve"> across the council</w:t>
      </w:r>
      <w:r w:rsidR="003506E4">
        <w:rPr>
          <w:rFonts w:ascii="Arial" w:hAnsi="Arial" w:cs="Arial"/>
          <w:sz w:val="28"/>
          <w:szCs w:val="28"/>
        </w:rPr>
        <w:t xml:space="preserve"> at this most pivotal point</w:t>
      </w:r>
      <w:r w:rsidR="00F41C5F">
        <w:rPr>
          <w:rFonts w:ascii="Arial" w:hAnsi="Arial" w:cs="Arial"/>
          <w:sz w:val="28"/>
          <w:szCs w:val="28"/>
        </w:rPr>
        <w:t>.</w:t>
      </w:r>
    </w:p>
    <w:p w14:paraId="0583FB28" w14:textId="7648A751" w:rsidR="00EC6A61" w:rsidRPr="00EC6A61" w:rsidRDefault="00C50AA0" w:rsidP="00EC6A61">
      <w:pPr>
        <w:jc w:val="both"/>
        <w:rPr>
          <w:rFonts w:ascii="Arial" w:hAnsi="Arial" w:cs="Arial"/>
          <w:sz w:val="28"/>
          <w:szCs w:val="28"/>
        </w:rPr>
      </w:pPr>
      <w:r>
        <w:rPr>
          <w:rFonts w:ascii="Arial" w:hAnsi="Arial" w:cs="Arial"/>
          <w:b/>
          <w:bCs/>
          <w:sz w:val="28"/>
          <w:szCs w:val="28"/>
        </w:rPr>
        <w:t>3</w:t>
      </w:r>
      <w:r w:rsidR="00EC6A61" w:rsidRPr="00EC6A61">
        <w:rPr>
          <w:rFonts w:ascii="Arial" w:hAnsi="Arial" w:cs="Arial"/>
          <w:b/>
          <w:bCs/>
          <w:sz w:val="28"/>
          <w:szCs w:val="28"/>
        </w:rPr>
        <w:t xml:space="preserve">. Review of the Corporate </w:t>
      </w:r>
      <w:r w:rsidR="00F41C5F">
        <w:rPr>
          <w:rFonts w:ascii="Arial" w:hAnsi="Arial" w:cs="Arial"/>
          <w:b/>
          <w:bCs/>
          <w:sz w:val="28"/>
          <w:szCs w:val="28"/>
        </w:rPr>
        <w:t>Strategy 2025 - 2028</w:t>
      </w:r>
    </w:p>
    <w:p w14:paraId="035A4182" w14:textId="7952AA5E" w:rsidR="00AC24B6" w:rsidRDefault="00AC24B6" w:rsidP="00AC24B6">
      <w:pPr>
        <w:jc w:val="both"/>
      </w:pPr>
      <w:r>
        <w:rPr>
          <w:rFonts w:ascii="Arial" w:hAnsi="Arial" w:cs="Arial"/>
          <w:color w:val="000000"/>
          <w:sz w:val="28"/>
        </w:rPr>
        <w:t xml:space="preserve">In 2025, the Council resolved to </w:t>
      </w:r>
      <w:r w:rsidRPr="00AC24B6">
        <w:rPr>
          <w:rFonts w:ascii="Arial" w:hAnsi="Arial" w:cs="Arial"/>
          <w:color w:val="000000"/>
          <w:sz w:val="28"/>
        </w:rPr>
        <w:t>transition from a Corporate Plan to a Corporate Strategy</w:t>
      </w:r>
      <w:r>
        <w:rPr>
          <w:rFonts w:ascii="Arial" w:hAnsi="Arial" w:cs="Arial"/>
          <w:color w:val="000000"/>
          <w:sz w:val="28"/>
        </w:rPr>
        <w:t xml:space="preserve">.  Following a joint review of our collaborative approach during the 2024 Corporate Plan Review – and recognising that due to the specific circumstances at the time, trade </w:t>
      </w:r>
      <w:r w:rsidRPr="00AC24B6">
        <w:rPr>
          <w:rFonts w:ascii="Arial" w:hAnsi="Arial" w:cs="Arial"/>
          <w:color w:val="000000"/>
          <w:sz w:val="28"/>
        </w:rPr>
        <w:t>union engagement occurred late in the process</w:t>
      </w:r>
      <w:r>
        <w:rPr>
          <w:rFonts w:ascii="Arial" w:hAnsi="Arial" w:cs="Arial"/>
          <w:color w:val="000000"/>
          <w:sz w:val="28"/>
        </w:rPr>
        <w:t xml:space="preserve"> -</w:t>
      </w:r>
      <w:r w:rsidRPr="00AC24B6">
        <w:rPr>
          <w:rFonts w:ascii="Arial" w:hAnsi="Arial" w:cs="Arial"/>
          <w:color w:val="000000"/>
          <w:sz w:val="28"/>
        </w:rPr>
        <w:t xml:space="preserve"> we agreed to </w:t>
      </w:r>
      <w:r>
        <w:rPr>
          <w:rFonts w:ascii="Arial" w:hAnsi="Arial" w:cs="Arial"/>
          <w:color w:val="000000"/>
          <w:sz w:val="28"/>
        </w:rPr>
        <w:t xml:space="preserve">involve </w:t>
      </w:r>
      <w:r w:rsidRPr="00AC24B6">
        <w:rPr>
          <w:rFonts w:ascii="Arial" w:hAnsi="Arial" w:cs="Arial"/>
          <w:color w:val="000000"/>
          <w:sz w:val="28"/>
        </w:rPr>
        <w:t>unions earlier in future years.</w:t>
      </w:r>
      <w:r>
        <w:rPr>
          <w:rFonts w:ascii="Arial" w:hAnsi="Arial" w:cs="Arial"/>
          <w:color w:val="000000"/>
          <w:sz w:val="28"/>
        </w:rPr>
        <w:t xml:space="preserve"> </w:t>
      </w:r>
      <w:r w:rsidRPr="00F41C5F">
        <w:t xml:space="preserve">  </w:t>
      </w:r>
    </w:p>
    <w:p w14:paraId="402B17DD" w14:textId="7DE5CE90" w:rsidR="00AC24B6" w:rsidRDefault="00AC24B6" w:rsidP="00AC24B6">
      <w:pPr>
        <w:jc w:val="both"/>
        <w:rPr>
          <w:rFonts w:ascii="Arial" w:hAnsi="Arial" w:cs="Arial"/>
          <w:color w:val="000000"/>
          <w:sz w:val="28"/>
        </w:rPr>
      </w:pPr>
      <w:r>
        <w:rPr>
          <w:rFonts w:ascii="Arial" w:hAnsi="Arial" w:cs="Arial"/>
          <w:color w:val="000000"/>
          <w:sz w:val="28"/>
        </w:rPr>
        <w:t>To that end, trade unions were invited to a presentation in April 2025,</w:t>
      </w:r>
      <w:r w:rsidRPr="00AC24B6">
        <w:rPr>
          <w:rFonts w:ascii="Arial" w:hAnsi="Arial" w:cs="Arial"/>
          <w:color w:val="000000"/>
          <w:sz w:val="28"/>
        </w:rPr>
        <w:t xml:space="preserve"> highlight</w:t>
      </w:r>
      <w:r>
        <w:rPr>
          <w:rFonts w:ascii="Arial" w:hAnsi="Arial" w:cs="Arial"/>
          <w:color w:val="000000"/>
          <w:sz w:val="28"/>
        </w:rPr>
        <w:t>ing</w:t>
      </w:r>
      <w:r w:rsidRPr="00AC24B6">
        <w:rPr>
          <w:rFonts w:ascii="Arial" w:hAnsi="Arial" w:cs="Arial"/>
          <w:color w:val="000000"/>
          <w:sz w:val="28"/>
        </w:rPr>
        <w:t xml:space="preserve"> how we </w:t>
      </w:r>
      <w:r>
        <w:rPr>
          <w:rFonts w:ascii="Arial" w:hAnsi="Arial" w:cs="Arial"/>
          <w:color w:val="000000"/>
          <w:sz w:val="28"/>
        </w:rPr>
        <w:t xml:space="preserve">intended to develop the Corporate Strategy and then support the strategy and </w:t>
      </w:r>
      <w:r w:rsidRPr="00AC24B6">
        <w:rPr>
          <w:rFonts w:ascii="Arial" w:hAnsi="Arial" w:cs="Arial"/>
          <w:color w:val="000000"/>
          <w:sz w:val="28"/>
        </w:rPr>
        <w:t>delivery of the well-being objectives through Head of Service Business Plans</w:t>
      </w:r>
      <w:r>
        <w:rPr>
          <w:rFonts w:ascii="Arial" w:hAnsi="Arial" w:cs="Arial"/>
          <w:color w:val="000000"/>
          <w:sz w:val="28"/>
        </w:rPr>
        <w:t xml:space="preserve">.  </w:t>
      </w:r>
      <w:r w:rsidR="00FC0B1D">
        <w:rPr>
          <w:rFonts w:ascii="Arial" w:hAnsi="Arial" w:cs="Arial"/>
          <w:color w:val="000000"/>
          <w:sz w:val="28"/>
        </w:rPr>
        <w:t xml:space="preserve">The aim was to get </w:t>
      </w:r>
      <w:r>
        <w:rPr>
          <w:rFonts w:ascii="Arial" w:hAnsi="Arial" w:cs="Arial"/>
          <w:color w:val="000000"/>
          <w:sz w:val="28"/>
        </w:rPr>
        <w:t>their</w:t>
      </w:r>
      <w:r w:rsidR="00FC0B1D">
        <w:rPr>
          <w:rFonts w:ascii="Arial" w:hAnsi="Arial" w:cs="Arial"/>
          <w:color w:val="000000"/>
          <w:sz w:val="28"/>
        </w:rPr>
        <w:t xml:space="preserve"> initial</w:t>
      </w:r>
      <w:r w:rsidRPr="00AC24B6">
        <w:rPr>
          <w:rFonts w:ascii="Arial" w:hAnsi="Arial" w:cs="Arial"/>
          <w:color w:val="000000"/>
          <w:sz w:val="28"/>
        </w:rPr>
        <w:t xml:space="preserve"> feedback </w:t>
      </w:r>
      <w:r w:rsidR="00FC0B1D">
        <w:rPr>
          <w:rFonts w:ascii="Arial" w:hAnsi="Arial" w:cs="Arial"/>
          <w:color w:val="000000"/>
          <w:sz w:val="28"/>
        </w:rPr>
        <w:t xml:space="preserve">on our intended </w:t>
      </w:r>
      <w:r w:rsidRPr="00AC24B6">
        <w:rPr>
          <w:rFonts w:ascii="Arial" w:hAnsi="Arial" w:cs="Arial"/>
          <w:color w:val="000000"/>
          <w:sz w:val="28"/>
        </w:rPr>
        <w:t>proces</w:t>
      </w:r>
      <w:r w:rsidR="00FC0B1D">
        <w:rPr>
          <w:rFonts w:ascii="Arial" w:hAnsi="Arial" w:cs="Arial"/>
          <w:color w:val="000000"/>
          <w:sz w:val="28"/>
        </w:rPr>
        <w:t>s as we worked towards consensus on the Strategy itself.</w:t>
      </w:r>
    </w:p>
    <w:p w14:paraId="1D35C494" w14:textId="39EBCE67" w:rsidR="002D474D" w:rsidRDefault="00FC0B1D" w:rsidP="00AC24B6">
      <w:pPr>
        <w:jc w:val="both"/>
        <w:rPr>
          <w:rFonts w:ascii="Arial" w:hAnsi="Arial" w:cs="Arial"/>
          <w:color w:val="000000"/>
          <w:sz w:val="28"/>
        </w:rPr>
      </w:pPr>
      <w:r>
        <w:rPr>
          <w:rFonts w:ascii="Arial" w:hAnsi="Arial" w:cs="Arial"/>
          <w:color w:val="000000"/>
          <w:sz w:val="28"/>
        </w:rPr>
        <w:t xml:space="preserve">Follow up meetings were held </w:t>
      </w:r>
      <w:r w:rsidR="003506E4">
        <w:rPr>
          <w:rFonts w:ascii="Arial" w:hAnsi="Arial" w:cs="Arial"/>
          <w:color w:val="000000"/>
          <w:sz w:val="28"/>
        </w:rPr>
        <w:t>in</w:t>
      </w:r>
      <w:r>
        <w:rPr>
          <w:rFonts w:ascii="Arial" w:hAnsi="Arial" w:cs="Arial"/>
          <w:color w:val="000000"/>
          <w:sz w:val="28"/>
        </w:rPr>
        <w:t xml:space="preserve"> </w:t>
      </w:r>
      <w:proofErr w:type="gramStart"/>
      <w:r>
        <w:rPr>
          <w:rFonts w:ascii="Arial" w:hAnsi="Arial" w:cs="Arial"/>
          <w:color w:val="000000"/>
          <w:sz w:val="28"/>
        </w:rPr>
        <w:t>May</w:t>
      </w:r>
      <w:proofErr w:type="gramEnd"/>
      <w:r>
        <w:rPr>
          <w:rFonts w:ascii="Arial" w:hAnsi="Arial" w:cs="Arial"/>
          <w:color w:val="000000"/>
          <w:sz w:val="28"/>
        </w:rPr>
        <w:t xml:space="preserve"> and the draft Corporate Strategy document was circulated to the trade unions for their detailed feedback and comments.  </w:t>
      </w:r>
      <w:r w:rsidR="002D474D">
        <w:rPr>
          <w:rFonts w:ascii="Arial" w:hAnsi="Arial" w:cs="Arial"/>
          <w:color w:val="000000"/>
          <w:sz w:val="28"/>
        </w:rPr>
        <w:t xml:space="preserve">Trade union representatives actively engaged in this process and provided both positive and constructive feedback in relation to the strategy.  </w:t>
      </w:r>
    </w:p>
    <w:p w14:paraId="308599EB" w14:textId="0108F7B5" w:rsidR="00FC0B1D" w:rsidRDefault="002D474D" w:rsidP="00AC24B6">
      <w:pPr>
        <w:jc w:val="both"/>
        <w:rPr>
          <w:rFonts w:ascii="Arial" w:hAnsi="Arial" w:cs="Arial"/>
          <w:color w:val="000000"/>
          <w:sz w:val="28"/>
        </w:rPr>
      </w:pPr>
      <w:r>
        <w:rPr>
          <w:rFonts w:ascii="Arial" w:hAnsi="Arial" w:cs="Arial"/>
          <w:color w:val="000000"/>
          <w:sz w:val="28"/>
        </w:rPr>
        <w:t>The Leader of the Council wrote to the Chair of the Joint Trade Unions on 17</w:t>
      </w:r>
      <w:r w:rsidRPr="002D474D">
        <w:rPr>
          <w:rFonts w:ascii="Arial" w:hAnsi="Arial" w:cs="Arial"/>
          <w:color w:val="000000"/>
          <w:sz w:val="28"/>
          <w:vertAlign w:val="superscript"/>
        </w:rPr>
        <w:t>th</w:t>
      </w:r>
      <w:r>
        <w:rPr>
          <w:rFonts w:ascii="Arial" w:hAnsi="Arial" w:cs="Arial"/>
          <w:color w:val="000000"/>
          <w:sz w:val="28"/>
        </w:rPr>
        <w:t xml:space="preserve"> June 2025 thanking him and his colleagues for their input, provid</w:t>
      </w:r>
      <w:r w:rsidR="003506E4">
        <w:rPr>
          <w:rFonts w:ascii="Arial" w:hAnsi="Arial" w:cs="Arial"/>
          <w:color w:val="000000"/>
          <w:sz w:val="28"/>
        </w:rPr>
        <w:t>ing</w:t>
      </w:r>
      <w:r>
        <w:rPr>
          <w:rFonts w:ascii="Arial" w:hAnsi="Arial" w:cs="Arial"/>
          <w:color w:val="000000"/>
          <w:sz w:val="28"/>
        </w:rPr>
        <w:t xml:space="preserve"> comprehensive feedback in response to comments received.</w:t>
      </w:r>
    </w:p>
    <w:p w14:paraId="7FEBB63F" w14:textId="1676B064" w:rsidR="00F41C5F" w:rsidRPr="00F41C5F" w:rsidRDefault="002D474D" w:rsidP="002D474D">
      <w:pPr>
        <w:jc w:val="both"/>
        <w:rPr>
          <w:rFonts w:ascii="Arial" w:hAnsi="Arial" w:cs="Arial"/>
          <w:sz w:val="28"/>
          <w:szCs w:val="28"/>
        </w:rPr>
      </w:pPr>
      <w:r w:rsidRPr="0054443E">
        <w:rPr>
          <w:rFonts w:ascii="Arial" w:hAnsi="Arial" w:cs="Arial"/>
          <w:sz w:val="28"/>
          <w:szCs w:val="28"/>
        </w:rPr>
        <w:t>The feedback from trade unions is referenced in the Corporate Strategy document, and relevant Head of Service Business Plans were updated to reflect the feedback. A mechanism has been put in place to monitor the remainder of the feedback via the LGS.</w:t>
      </w:r>
    </w:p>
    <w:p w14:paraId="4AAE3677" w14:textId="63280E5C" w:rsidR="00EC6A61" w:rsidRPr="00EC6A61" w:rsidRDefault="00EC6A61" w:rsidP="00EC6A61">
      <w:pPr>
        <w:jc w:val="both"/>
        <w:rPr>
          <w:rFonts w:ascii="Arial" w:hAnsi="Arial" w:cs="Arial"/>
          <w:sz w:val="28"/>
          <w:szCs w:val="28"/>
        </w:rPr>
      </w:pPr>
      <w:r w:rsidRPr="00EC6A61">
        <w:rPr>
          <w:rFonts w:ascii="Arial" w:hAnsi="Arial" w:cs="Arial"/>
          <w:sz w:val="28"/>
          <w:szCs w:val="28"/>
        </w:rPr>
        <w:lastRenderedPageBreak/>
        <w:t>The Leader ask</w:t>
      </w:r>
      <w:r w:rsidR="002D474D">
        <w:rPr>
          <w:rFonts w:ascii="Arial" w:hAnsi="Arial" w:cs="Arial"/>
          <w:sz w:val="28"/>
          <w:szCs w:val="28"/>
        </w:rPr>
        <w:t>ed</w:t>
      </w:r>
      <w:r w:rsidRPr="00EC6A61">
        <w:rPr>
          <w:rFonts w:ascii="Arial" w:hAnsi="Arial" w:cs="Arial"/>
          <w:sz w:val="28"/>
          <w:szCs w:val="28"/>
        </w:rPr>
        <w:t xml:space="preserve"> for confirmation that consensus has been reached on the content of the Corporate </w:t>
      </w:r>
      <w:r w:rsidR="002D474D">
        <w:rPr>
          <w:rFonts w:ascii="Arial" w:hAnsi="Arial" w:cs="Arial"/>
          <w:sz w:val="28"/>
          <w:szCs w:val="28"/>
        </w:rPr>
        <w:t>Strategy</w:t>
      </w:r>
      <w:r w:rsidRPr="00EC6A61">
        <w:rPr>
          <w:rFonts w:ascii="Arial" w:hAnsi="Arial" w:cs="Arial"/>
          <w:sz w:val="28"/>
          <w:szCs w:val="28"/>
        </w:rPr>
        <w:t xml:space="preserve">.  The Chair of the Joint Trade Unions confirmed consensus had been reached </w:t>
      </w:r>
      <w:r w:rsidR="002D474D">
        <w:rPr>
          <w:rFonts w:ascii="Arial" w:hAnsi="Arial" w:cs="Arial"/>
          <w:sz w:val="28"/>
          <w:szCs w:val="28"/>
        </w:rPr>
        <w:t>by email on 17</w:t>
      </w:r>
      <w:r w:rsidR="002D474D" w:rsidRPr="002D474D">
        <w:rPr>
          <w:rFonts w:ascii="Arial" w:hAnsi="Arial" w:cs="Arial"/>
          <w:sz w:val="28"/>
          <w:szCs w:val="28"/>
          <w:vertAlign w:val="superscript"/>
        </w:rPr>
        <w:t>th</w:t>
      </w:r>
      <w:r w:rsidR="002D474D">
        <w:rPr>
          <w:rFonts w:ascii="Arial" w:hAnsi="Arial" w:cs="Arial"/>
          <w:sz w:val="28"/>
          <w:szCs w:val="28"/>
        </w:rPr>
        <w:t xml:space="preserve"> June 2025</w:t>
      </w:r>
      <w:r w:rsidRPr="00EC6A61">
        <w:rPr>
          <w:rFonts w:ascii="Arial" w:hAnsi="Arial" w:cs="Arial"/>
          <w:sz w:val="28"/>
          <w:szCs w:val="28"/>
        </w:rPr>
        <w:t>.  </w:t>
      </w:r>
    </w:p>
    <w:p w14:paraId="186C559D" w14:textId="77777777" w:rsidR="00EC6A61" w:rsidRPr="00EC6A61" w:rsidRDefault="00EC6A61" w:rsidP="00EC6A61">
      <w:pPr>
        <w:jc w:val="both"/>
        <w:rPr>
          <w:rFonts w:ascii="Arial" w:hAnsi="Arial" w:cs="Arial"/>
          <w:sz w:val="28"/>
          <w:szCs w:val="28"/>
        </w:rPr>
      </w:pPr>
      <w:r w:rsidRPr="00EC6A61">
        <w:rPr>
          <w:rFonts w:ascii="Arial" w:hAnsi="Arial" w:cs="Arial"/>
          <w:sz w:val="28"/>
          <w:szCs w:val="28"/>
        </w:rPr>
        <w:t> </w:t>
      </w:r>
    </w:p>
    <w:p w14:paraId="35535D6E" w14:textId="5C47C9D5" w:rsidR="00961687" w:rsidRPr="002B2655" w:rsidRDefault="00C50AA0">
      <w:pPr>
        <w:rPr>
          <w:rFonts w:ascii="Arial" w:hAnsi="Arial" w:cs="Arial"/>
          <w:b/>
          <w:bCs/>
          <w:sz w:val="28"/>
          <w:szCs w:val="28"/>
        </w:rPr>
      </w:pPr>
      <w:r>
        <w:rPr>
          <w:rFonts w:ascii="Arial" w:hAnsi="Arial" w:cs="Arial"/>
          <w:b/>
          <w:bCs/>
          <w:sz w:val="28"/>
          <w:szCs w:val="28"/>
        </w:rPr>
        <w:t>4</w:t>
      </w:r>
      <w:r w:rsidR="00961687" w:rsidRPr="002B2655">
        <w:rPr>
          <w:rFonts w:ascii="Arial" w:hAnsi="Arial" w:cs="Arial"/>
          <w:b/>
          <w:bCs/>
          <w:sz w:val="28"/>
          <w:szCs w:val="28"/>
        </w:rPr>
        <w:t>.</w:t>
      </w:r>
      <w:r w:rsidR="00961687" w:rsidRPr="002B2655">
        <w:rPr>
          <w:rFonts w:ascii="Arial" w:hAnsi="Arial" w:cs="Arial"/>
          <w:b/>
          <w:bCs/>
          <w:sz w:val="28"/>
          <w:szCs w:val="28"/>
        </w:rPr>
        <w:tab/>
        <w:t>Alternative Options</w:t>
      </w:r>
    </w:p>
    <w:p w14:paraId="1F85583F" w14:textId="767433EE" w:rsidR="000132D7" w:rsidRPr="002B2655" w:rsidRDefault="002D474D" w:rsidP="002D474D">
      <w:pPr>
        <w:jc w:val="both"/>
        <w:rPr>
          <w:rFonts w:ascii="Arial" w:hAnsi="Arial" w:cs="Arial"/>
          <w:sz w:val="28"/>
          <w:szCs w:val="28"/>
        </w:rPr>
      </w:pPr>
      <w:r w:rsidRPr="00EC6A61">
        <w:rPr>
          <w:rFonts w:ascii="Arial" w:hAnsi="Arial" w:cs="Arial"/>
          <w:sz w:val="28"/>
          <w:szCs w:val="28"/>
        </w:rPr>
        <w:t xml:space="preserve">The Social Partnership and Public Procurement (Wales) Act 2023 (The </w:t>
      </w:r>
      <w:r>
        <w:rPr>
          <w:rFonts w:ascii="Arial" w:hAnsi="Arial" w:cs="Arial"/>
          <w:sz w:val="28"/>
          <w:szCs w:val="28"/>
        </w:rPr>
        <w:t>S</w:t>
      </w:r>
      <w:r w:rsidRPr="00EC6A61">
        <w:rPr>
          <w:rFonts w:ascii="Arial" w:hAnsi="Arial" w:cs="Arial"/>
          <w:sz w:val="28"/>
          <w:szCs w:val="28"/>
        </w:rPr>
        <w:t>PPP) requires the council, as a public body, to produce an annual report to evidence how they have complied with the Social Partnership Duty.  </w:t>
      </w:r>
      <w:r>
        <w:rPr>
          <w:rFonts w:ascii="Arial" w:hAnsi="Arial" w:cs="Arial"/>
          <w:sz w:val="28"/>
          <w:szCs w:val="28"/>
        </w:rPr>
        <w:t xml:space="preserve">There is no alternative option.  </w:t>
      </w:r>
    </w:p>
    <w:p w14:paraId="714E0A39" w14:textId="4916D083" w:rsidR="00961687" w:rsidRPr="002B2655" w:rsidRDefault="00C50AA0">
      <w:pPr>
        <w:rPr>
          <w:rFonts w:ascii="Arial" w:hAnsi="Arial" w:cs="Arial"/>
          <w:b/>
          <w:bCs/>
          <w:sz w:val="28"/>
          <w:szCs w:val="28"/>
        </w:rPr>
      </w:pPr>
      <w:r>
        <w:rPr>
          <w:rFonts w:ascii="Arial" w:hAnsi="Arial" w:cs="Arial"/>
          <w:b/>
          <w:bCs/>
          <w:sz w:val="28"/>
          <w:szCs w:val="28"/>
        </w:rPr>
        <w:t>5</w:t>
      </w:r>
      <w:r w:rsidR="00961687" w:rsidRPr="002B2655">
        <w:rPr>
          <w:rFonts w:ascii="Arial" w:hAnsi="Arial" w:cs="Arial"/>
          <w:b/>
          <w:bCs/>
          <w:sz w:val="28"/>
          <w:szCs w:val="28"/>
        </w:rPr>
        <w:t>.</w:t>
      </w:r>
      <w:r w:rsidR="00961687" w:rsidRPr="002B2655">
        <w:rPr>
          <w:rFonts w:ascii="Arial" w:hAnsi="Arial" w:cs="Arial"/>
          <w:b/>
          <w:bCs/>
          <w:sz w:val="28"/>
          <w:szCs w:val="28"/>
        </w:rPr>
        <w:tab/>
        <w:t>Integrated Impact Assessment</w:t>
      </w:r>
    </w:p>
    <w:p w14:paraId="3739EDF7" w14:textId="27808791" w:rsidR="000132D7" w:rsidRPr="002D474D" w:rsidRDefault="00F553E0" w:rsidP="002D474D">
      <w:pPr>
        <w:rPr>
          <w:rFonts w:ascii="Arial" w:hAnsi="Arial" w:cs="Arial"/>
          <w:sz w:val="28"/>
          <w:szCs w:val="28"/>
        </w:rPr>
      </w:pPr>
      <w:r>
        <w:rPr>
          <w:rFonts w:ascii="Arial" w:hAnsi="Arial" w:cs="Arial"/>
          <w:sz w:val="28"/>
          <w:szCs w:val="28"/>
        </w:rPr>
        <w:t>As this report is for information an Integrated Impact Assessment is not required.</w:t>
      </w:r>
    </w:p>
    <w:p w14:paraId="5BF63636" w14:textId="0B4A0D28" w:rsidR="00961687" w:rsidRPr="002B2655" w:rsidRDefault="00C50AA0">
      <w:pPr>
        <w:rPr>
          <w:rFonts w:ascii="Arial" w:hAnsi="Arial" w:cs="Arial"/>
          <w:b/>
          <w:bCs/>
          <w:sz w:val="28"/>
          <w:szCs w:val="28"/>
        </w:rPr>
      </w:pPr>
      <w:r>
        <w:rPr>
          <w:rFonts w:ascii="Arial" w:hAnsi="Arial" w:cs="Arial"/>
          <w:b/>
          <w:bCs/>
          <w:sz w:val="28"/>
          <w:szCs w:val="28"/>
        </w:rPr>
        <w:t>6</w:t>
      </w:r>
      <w:r w:rsidR="00961687" w:rsidRPr="002B2655">
        <w:rPr>
          <w:rFonts w:ascii="Arial" w:hAnsi="Arial" w:cs="Arial"/>
          <w:b/>
          <w:bCs/>
          <w:sz w:val="28"/>
          <w:szCs w:val="28"/>
        </w:rPr>
        <w:t>.</w:t>
      </w:r>
      <w:r w:rsidR="00961687" w:rsidRPr="002B2655">
        <w:rPr>
          <w:rFonts w:ascii="Arial" w:hAnsi="Arial" w:cs="Arial"/>
          <w:b/>
          <w:bCs/>
          <w:sz w:val="28"/>
          <w:szCs w:val="28"/>
        </w:rPr>
        <w:tab/>
        <w:t>Risk Management</w:t>
      </w:r>
    </w:p>
    <w:p w14:paraId="287551CA" w14:textId="4DD601F1" w:rsidR="000132D7" w:rsidRPr="002B2655" w:rsidRDefault="002D474D" w:rsidP="002B2655">
      <w:pPr>
        <w:rPr>
          <w:rFonts w:ascii="Arial" w:hAnsi="Arial" w:cs="Arial"/>
          <w:sz w:val="28"/>
          <w:szCs w:val="28"/>
        </w:rPr>
      </w:pPr>
      <w:r>
        <w:rPr>
          <w:rFonts w:ascii="Arial" w:hAnsi="Arial" w:cs="Arial"/>
          <w:sz w:val="28"/>
          <w:szCs w:val="28"/>
        </w:rPr>
        <w:t>The production of this report and submission to the Social Partnership Council ensures that the council is compliant with relevant legislation.</w:t>
      </w:r>
    </w:p>
    <w:p w14:paraId="3FAC837A" w14:textId="32E769A9" w:rsidR="00961687" w:rsidRPr="002B2655" w:rsidRDefault="00C50AA0">
      <w:pPr>
        <w:rPr>
          <w:rFonts w:ascii="Arial" w:hAnsi="Arial" w:cs="Arial"/>
          <w:b/>
          <w:bCs/>
          <w:sz w:val="28"/>
          <w:szCs w:val="28"/>
        </w:rPr>
      </w:pPr>
      <w:r>
        <w:rPr>
          <w:rFonts w:ascii="Arial" w:hAnsi="Arial" w:cs="Arial"/>
          <w:b/>
          <w:bCs/>
          <w:sz w:val="28"/>
          <w:szCs w:val="28"/>
        </w:rPr>
        <w:t>7</w:t>
      </w:r>
      <w:r w:rsidR="00961687" w:rsidRPr="002B2655">
        <w:rPr>
          <w:rFonts w:ascii="Arial" w:hAnsi="Arial" w:cs="Arial"/>
          <w:b/>
          <w:bCs/>
          <w:sz w:val="28"/>
          <w:szCs w:val="28"/>
        </w:rPr>
        <w:t>.</w:t>
      </w:r>
      <w:r w:rsidR="00961687" w:rsidRPr="002B2655">
        <w:rPr>
          <w:rFonts w:ascii="Arial" w:hAnsi="Arial" w:cs="Arial"/>
          <w:b/>
          <w:bCs/>
          <w:sz w:val="28"/>
          <w:szCs w:val="28"/>
        </w:rPr>
        <w:tab/>
        <w:t>Implications</w:t>
      </w:r>
    </w:p>
    <w:p w14:paraId="0D4ADD43" w14:textId="23586198" w:rsidR="000132D7" w:rsidRPr="002B2655" w:rsidRDefault="00961687">
      <w:pPr>
        <w:rPr>
          <w:rFonts w:ascii="Arial" w:hAnsi="Arial" w:cs="Arial"/>
          <w:b/>
          <w:bCs/>
          <w:sz w:val="28"/>
          <w:szCs w:val="28"/>
        </w:rPr>
      </w:pPr>
      <w:r w:rsidRPr="002B2655">
        <w:rPr>
          <w:rFonts w:ascii="Arial" w:hAnsi="Arial" w:cs="Arial"/>
          <w:b/>
          <w:bCs/>
          <w:sz w:val="28"/>
          <w:szCs w:val="28"/>
        </w:rPr>
        <w:t xml:space="preserve">(a) </w:t>
      </w:r>
      <w:r w:rsidR="000132D7" w:rsidRPr="002B2655">
        <w:rPr>
          <w:rFonts w:ascii="Arial" w:hAnsi="Arial" w:cs="Arial"/>
          <w:b/>
          <w:bCs/>
          <w:sz w:val="28"/>
          <w:szCs w:val="28"/>
        </w:rPr>
        <w:tab/>
      </w:r>
      <w:r w:rsidRPr="002B2655">
        <w:rPr>
          <w:rFonts w:ascii="Arial" w:hAnsi="Arial" w:cs="Arial"/>
          <w:b/>
          <w:bCs/>
          <w:sz w:val="28"/>
          <w:szCs w:val="28"/>
        </w:rPr>
        <w:t>Financial Impacts</w:t>
      </w:r>
    </w:p>
    <w:p w14:paraId="43C41D79" w14:textId="0548D21E" w:rsidR="000132D7" w:rsidRPr="002B2655" w:rsidRDefault="002D474D" w:rsidP="002B2655">
      <w:pPr>
        <w:rPr>
          <w:rFonts w:ascii="Arial" w:hAnsi="Arial" w:cs="Arial"/>
          <w:sz w:val="28"/>
          <w:szCs w:val="28"/>
        </w:rPr>
      </w:pPr>
      <w:r>
        <w:rPr>
          <w:rFonts w:ascii="Arial" w:hAnsi="Arial" w:cs="Arial"/>
          <w:sz w:val="28"/>
          <w:szCs w:val="28"/>
        </w:rPr>
        <w:t>No implications.</w:t>
      </w:r>
    </w:p>
    <w:p w14:paraId="72BC3650" w14:textId="10A4C316" w:rsidR="00961687" w:rsidRPr="002B2655" w:rsidRDefault="00961687">
      <w:pPr>
        <w:rPr>
          <w:rFonts w:ascii="Arial" w:hAnsi="Arial" w:cs="Arial"/>
          <w:b/>
          <w:bCs/>
          <w:sz w:val="28"/>
          <w:szCs w:val="28"/>
        </w:rPr>
      </w:pPr>
      <w:r w:rsidRPr="002B2655">
        <w:rPr>
          <w:rFonts w:ascii="Arial" w:hAnsi="Arial" w:cs="Arial"/>
          <w:b/>
          <w:bCs/>
          <w:sz w:val="28"/>
          <w:szCs w:val="28"/>
        </w:rPr>
        <w:t>(b) Workforce Impacts</w:t>
      </w:r>
    </w:p>
    <w:p w14:paraId="118BDCF1" w14:textId="57FC7740" w:rsidR="000132D7" w:rsidRPr="002B2655" w:rsidRDefault="003506E4" w:rsidP="002B2655">
      <w:pPr>
        <w:rPr>
          <w:rFonts w:ascii="Arial" w:hAnsi="Arial" w:cs="Arial"/>
          <w:sz w:val="28"/>
          <w:szCs w:val="28"/>
        </w:rPr>
      </w:pPr>
      <w:r>
        <w:rPr>
          <w:rFonts w:ascii="Arial" w:hAnsi="Arial" w:cs="Arial"/>
          <w:sz w:val="28"/>
          <w:szCs w:val="28"/>
        </w:rPr>
        <w:t>Our valued social partnership with trade unions supports the delivery of the Council’s Strategic Workforce Plan and Corporate Strategy 2025 – 2028.</w:t>
      </w:r>
    </w:p>
    <w:p w14:paraId="03B883BF" w14:textId="1BDCE5AE" w:rsidR="00961687" w:rsidRPr="002B2655" w:rsidRDefault="00961687">
      <w:pPr>
        <w:rPr>
          <w:rFonts w:ascii="Arial" w:hAnsi="Arial" w:cs="Arial"/>
          <w:b/>
          <w:bCs/>
          <w:sz w:val="28"/>
          <w:szCs w:val="28"/>
        </w:rPr>
      </w:pPr>
      <w:r w:rsidRPr="002B2655">
        <w:rPr>
          <w:rFonts w:ascii="Arial" w:hAnsi="Arial" w:cs="Arial"/>
          <w:b/>
          <w:bCs/>
          <w:sz w:val="28"/>
          <w:szCs w:val="28"/>
        </w:rPr>
        <w:t>(c) Legal Impacts</w:t>
      </w:r>
    </w:p>
    <w:p w14:paraId="2E40F310" w14:textId="41A0E6AC" w:rsidR="003506E4" w:rsidRDefault="003506E4" w:rsidP="004D132F">
      <w:pPr>
        <w:rPr>
          <w:rFonts w:ascii="Arial" w:hAnsi="Arial" w:cs="Arial"/>
          <w:b/>
          <w:bCs/>
          <w:sz w:val="28"/>
          <w:szCs w:val="28"/>
        </w:rPr>
      </w:pPr>
      <w:r w:rsidRPr="00EC6A61">
        <w:rPr>
          <w:rFonts w:ascii="Arial" w:hAnsi="Arial" w:cs="Arial"/>
          <w:sz w:val="28"/>
          <w:szCs w:val="28"/>
        </w:rPr>
        <w:t xml:space="preserve">The Social Partnership and Public Procurement (Wales) Act 2023 (The </w:t>
      </w:r>
      <w:r>
        <w:rPr>
          <w:rFonts w:ascii="Arial" w:hAnsi="Arial" w:cs="Arial"/>
          <w:sz w:val="28"/>
          <w:szCs w:val="28"/>
        </w:rPr>
        <w:t>S</w:t>
      </w:r>
      <w:r w:rsidRPr="00EC6A61">
        <w:rPr>
          <w:rFonts w:ascii="Arial" w:hAnsi="Arial" w:cs="Arial"/>
          <w:sz w:val="28"/>
          <w:szCs w:val="28"/>
        </w:rPr>
        <w:t>PPP) requires the council, as a public body, to produce an annual report to evidence how they have complied with the Social Partnership Duty.  </w:t>
      </w:r>
    </w:p>
    <w:p w14:paraId="3B48188F" w14:textId="22A1A4EE" w:rsidR="004D132F" w:rsidRPr="004D132F" w:rsidRDefault="004D132F" w:rsidP="004D132F">
      <w:pPr>
        <w:rPr>
          <w:rFonts w:ascii="Arial" w:hAnsi="Arial" w:cs="Arial"/>
          <w:b/>
          <w:bCs/>
          <w:sz w:val="28"/>
          <w:szCs w:val="28"/>
        </w:rPr>
      </w:pPr>
      <w:r w:rsidRPr="004D132F">
        <w:rPr>
          <w:rFonts w:ascii="Arial" w:hAnsi="Arial" w:cs="Arial"/>
          <w:b/>
          <w:bCs/>
          <w:sz w:val="28"/>
          <w:szCs w:val="28"/>
        </w:rPr>
        <w:t>(d) Policy, Digital and Asset Management Impacts</w:t>
      </w:r>
    </w:p>
    <w:p w14:paraId="37232098" w14:textId="34B19A84" w:rsidR="004D132F" w:rsidRPr="004D132F" w:rsidRDefault="003506E4" w:rsidP="004D132F">
      <w:pPr>
        <w:rPr>
          <w:rFonts w:ascii="Arial" w:hAnsi="Arial" w:cs="Arial"/>
          <w:sz w:val="28"/>
          <w:szCs w:val="28"/>
        </w:rPr>
      </w:pPr>
      <w:r>
        <w:rPr>
          <w:rFonts w:ascii="Arial" w:hAnsi="Arial" w:cs="Arial"/>
          <w:sz w:val="28"/>
          <w:szCs w:val="28"/>
        </w:rPr>
        <w:t>No implications.</w:t>
      </w:r>
    </w:p>
    <w:p w14:paraId="419D9505" w14:textId="06733D34" w:rsidR="00284C83" w:rsidRPr="002B2655" w:rsidRDefault="00C50AA0">
      <w:pPr>
        <w:rPr>
          <w:rFonts w:ascii="Arial" w:hAnsi="Arial" w:cs="Arial"/>
          <w:b/>
          <w:bCs/>
          <w:sz w:val="28"/>
          <w:szCs w:val="28"/>
        </w:rPr>
      </w:pPr>
      <w:r>
        <w:rPr>
          <w:rFonts w:ascii="Arial" w:hAnsi="Arial" w:cs="Arial"/>
          <w:b/>
          <w:bCs/>
          <w:sz w:val="28"/>
          <w:szCs w:val="28"/>
        </w:rPr>
        <w:t>8</w:t>
      </w:r>
      <w:r w:rsidR="000132D7" w:rsidRPr="002B2655">
        <w:rPr>
          <w:rFonts w:ascii="Arial" w:hAnsi="Arial" w:cs="Arial"/>
          <w:b/>
          <w:bCs/>
          <w:sz w:val="28"/>
          <w:szCs w:val="28"/>
        </w:rPr>
        <w:t>6</w:t>
      </w:r>
      <w:r w:rsidR="00961687" w:rsidRPr="002B2655">
        <w:rPr>
          <w:rFonts w:ascii="Arial" w:hAnsi="Arial" w:cs="Arial"/>
          <w:b/>
          <w:bCs/>
          <w:sz w:val="28"/>
          <w:szCs w:val="28"/>
        </w:rPr>
        <w:t>.</w:t>
      </w:r>
      <w:r w:rsidR="00961687" w:rsidRPr="002B2655">
        <w:rPr>
          <w:rFonts w:ascii="Arial" w:hAnsi="Arial" w:cs="Arial"/>
          <w:b/>
          <w:bCs/>
          <w:sz w:val="28"/>
          <w:szCs w:val="28"/>
        </w:rPr>
        <w:tab/>
      </w:r>
      <w:r w:rsidR="00284C83" w:rsidRPr="002B2655">
        <w:rPr>
          <w:rFonts w:ascii="Arial" w:hAnsi="Arial" w:cs="Arial"/>
          <w:b/>
          <w:bCs/>
          <w:sz w:val="28"/>
          <w:szCs w:val="28"/>
        </w:rPr>
        <w:t>Valley Community Impacts</w:t>
      </w:r>
    </w:p>
    <w:p w14:paraId="1AC8E700" w14:textId="2C8B4EC9" w:rsidR="002B2655" w:rsidRPr="002B2655" w:rsidRDefault="003506E4" w:rsidP="002B2655">
      <w:pPr>
        <w:rPr>
          <w:rFonts w:ascii="Arial" w:hAnsi="Arial" w:cs="Arial"/>
          <w:sz w:val="28"/>
          <w:szCs w:val="28"/>
        </w:rPr>
      </w:pPr>
      <w:r>
        <w:rPr>
          <w:rFonts w:ascii="Arial" w:hAnsi="Arial" w:cs="Arial"/>
          <w:sz w:val="28"/>
          <w:szCs w:val="28"/>
        </w:rPr>
        <w:lastRenderedPageBreak/>
        <w:t>No implications.</w:t>
      </w:r>
    </w:p>
    <w:p w14:paraId="1582D3BA" w14:textId="72CD3FB9" w:rsidR="00961687" w:rsidRPr="002B2655" w:rsidRDefault="00C50AA0">
      <w:pPr>
        <w:rPr>
          <w:rFonts w:ascii="Arial" w:hAnsi="Arial" w:cs="Arial"/>
          <w:b/>
          <w:bCs/>
          <w:sz w:val="28"/>
          <w:szCs w:val="28"/>
        </w:rPr>
      </w:pPr>
      <w:r>
        <w:rPr>
          <w:rFonts w:ascii="Arial" w:hAnsi="Arial" w:cs="Arial"/>
          <w:b/>
          <w:bCs/>
          <w:sz w:val="28"/>
          <w:szCs w:val="28"/>
        </w:rPr>
        <w:t>9</w:t>
      </w:r>
      <w:r w:rsidR="00284C83" w:rsidRPr="002B2655">
        <w:rPr>
          <w:rFonts w:ascii="Arial" w:hAnsi="Arial" w:cs="Arial"/>
          <w:b/>
          <w:bCs/>
          <w:sz w:val="28"/>
          <w:szCs w:val="28"/>
        </w:rPr>
        <w:t>.</w:t>
      </w:r>
      <w:r w:rsidR="00284C83" w:rsidRPr="002B2655">
        <w:rPr>
          <w:rFonts w:ascii="Arial" w:hAnsi="Arial" w:cs="Arial"/>
          <w:b/>
          <w:bCs/>
          <w:sz w:val="28"/>
          <w:szCs w:val="28"/>
        </w:rPr>
        <w:tab/>
      </w:r>
      <w:r w:rsidR="00961687" w:rsidRPr="002B2655">
        <w:rPr>
          <w:rFonts w:ascii="Arial" w:hAnsi="Arial" w:cs="Arial"/>
          <w:b/>
          <w:bCs/>
          <w:sz w:val="28"/>
          <w:szCs w:val="28"/>
        </w:rPr>
        <w:t>Consultation</w:t>
      </w:r>
    </w:p>
    <w:p w14:paraId="5D719191" w14:textId="371F99CD" w:rsidR="00291AA8" w:rsidRPr="003506E4" w:rsidRDefault="00291AA8" w:rsidP="00233073">
      <w:pPr>
        <w:jc w:val="both"/>
        <w:rPr>
          <w:rFonts w:ascii="Arial" w:hAnsi="Arial" w:cs="Arial"/>
          <w:sz w:val="28"/>
          <w:szCs w:val="28"/>
        </w:rPr>
      </w:pPr>
      <w:r w:rsidRPr="003506E4">
        <w:rPr>
          <w:rFonts w:ascii="Arial" w:hAnsi="Arial" w:cs="Arial"/>
          <w:sz w:val="28"/>
          <w:szCs w:val="28"/>
        </w:rPr>
        <w:t>There is no requirement for external consultation on this item</w:t>
      </w:r>
      <w:r w:rsidR="003506E4">
        <w:rPr>
          <w:rFonts w:ascii="Arial" w:hAnsi="Arial" w:cs="Arial"/>
          <w:sz w:val="28"/>
          <w:szCs w:val="28"/>
        </w:rPr>
        <w:t xml:space="preserve">.  Trade Unions have been consulted on this report and have confirmed </w:t>
      </w:r>
      <w:r w:rsidR="00233073">
        <w:rPr>
          <w:rFonts w:ascii="Arial" w:hAnsi="Arial" w:cs="Arial"/>
          <w:sz w:val="28"/>
          <w:szCs w:val="28"/>
        </w:rPr>
        <w:t>their agreement with the content of this report on the grounds that arrangements are in place to monitor the trade union feedback.</w:t>
      </w:r>
    </w:p>
    <w:p w14:paraId="2EEF91EA" w14:textId="47129969" w:rsidR="00961687" w:rsidRPr="002B2655" w:rsidRDefault="00C50AA0">
      <w:pPr>
        <w:rPr>
          <w:rFonts w:ascii="Arial" w:hAnsi="Arial" w:cs="Arial"/>
          <w:sz w:val="28"/>
          <w:szCs w:val="28"/>
        </w:rPr>
      </w:pPr>
      <w:r>
        <w:rPr>
          <w:rFonts w:ascii="Arial" w:hAnsi="Arial" w:cs="Arial"/>
          <w:b/>
          <w:bCs/>
          <w:sz w:val="28"/>
          <w:szCs w:val="28"/>
        </w:rPr>
        <w:t>10</w:t>
      </w:r>
      <w:r w:rsidR="00961687" w:rsidRPr="002B2655">
        <w:rPr>
          <w:rFonts w:ascii="Arial" w:hAnsi="Arial" w:cs="Arial"/>
          <w:b/>
          <w:bCs/>
          <w:sz w:val="28"/>
          <w:szCs w:val="28"/>
        </w:rPr>
        <w:t>.</w:t>
      </w:r>
      <w:r w:rsidR="00961687" w:rsidRPr="002B2655">
        <w:rPr>
          <w:rFonts w:ascii="Arial" w:hAnsi="Arial" w:cs="Arial"/>
          <w:sz w:val="28"/>
          <w:szCs w:val="28"/>
        </w:rPr>
        <w:tab/>
      </w:r>
      <w:r w:rsidR="00961687" w:rsidRPr="002B2655">
        <w:rPr>
          <w:rFonts w:ascii="Arial" w:hAnsi="Arial" w:cs="Arial"/>
          <w:b/>
          <w:bCs/>
          <w:sz w:val="28"/>
          <w:szCs w:val="28"/>
        </w:rPr>
        <w:t>Appendices</w:t>
      </w:r>
    </w:p>
    <w:p w14:paraId="1DA680E3" w14:textId="2BE4F3F1" w:rsidR="00291AA8" w:rsidRPr="002B2655" w:rsidRDefault="003506E4">
      <w:pPr>
        <w:rPr>
          <w:rFonts w:ascii="Arial" w:hAnsi="Arial" w:cs="Arial"/>
          <w:sz w:val="28"/>
          <w:szCs w:val="28"/>
        </w:rPr>
      </w:pPr>
      <w:r>
        <w:rPr>
          <w:rFonts w:ascii="Arial" w:hAnsi="Arial" w:cs="Arial"/>
          <w:sz w:val="28"/>
          <w:szCs w:val="28"/>
        </w:rPr>
        <w:t>Appendix 1 – Integrated Impact Assessment</w:t>
      </w:r>
    </w:p>
    <w:p w14:paraId="05E6100D" w14:textId="2F943F11" w:rsidR="00961687" w:rsidRDefault="00C50AA0">
      <w:pPr>
        <w:rPr>
          <w:rFonts w:ascii="Arial" w:hAnsi="Arial" w:cs="Arial"/>
          <w:b/>
          <w:bCs/>
          <w:sz w:val="28"/>
          <w:szCs w:val="28"/>
        </w:rPr>
      </w:pPr>
      <w:r>
        <w:rPr>
          <w:rFonts w:ascii="Arial" w:hAnsi="Arial" w:cs="Arial"/>
          <w:b/>
          <w:bCs/>
          <w:sz w:val="28"/>
          <w:szCs w:val="28"/>
        </w:rPr>
        <w:t>11</w:t>
      </w:r>
      <w:r w:rsidR="00961687" w:rsidRPr="002B2655">
        <w:rPr>
          <w:rFonts w:ascii="Arial" w:hAnsi="Arial" w:cs="Arial"/>
          <w:b/>
          <w:bCs/>
          <w:sz w:val="28"/>
          <w:szCs w:val="28"/>
        </w:rPr>
        <w:t>.</w:t>
      </w:r>
      <w:r w:rsidR="00961687" w:rsidRPr="002B2655">
        <w:rPr>
          <w:rFonts w:ascii="Arial" w:hAnsi="Arial" w:cs="Arial"/>
          <w:b/>
          <w:bCs/>
          <w:sz w:val="28"/>
          <w:szCs w:val="28"/>
        </w:rPr>
        <w:tab/>
        <w:t>List of Background Papers</w:t>
      </w:r>
    </w:p>
    <w:p w14:paraId="07DF605D" w14:textId="399FAAE1" w:rsidR="003506E4" w:rsidRPr="003506E4" w:rsidRDefault="003506E4">
      <w:pPr>
        <w:rPr>
          <w:rFonts w:ascii="Arial" w:hAnsi="Arial" w:cs="Arial"/>
          <w:sz w:val="28"/>
          <w:szCs w:val="28"/>
        </w:rPr>
      </w:pPr>
      <w:r>
        <w:rPr>
          <w:rFonts w:ascii="Arial" w:hAnsi="Arial" w:cs="Arial"/>
          <w:sz w:val="28"/>
          <w:szCs w:val="28"/>
        </w:rPr>
        <w:t>Corporate Strategy 2025 - 2028</w:t>
      </w:r>
    </w:p>
    <w:sectPr w:rsidR="003506E4" w:rsidRPr="00350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B54"/>
    <w:multiLevelType w:val="hybridMultilevel"/>
    <w:tmpl w:val="A614DF66"/>
    <w:lvl w:ilvl="0" w:tplc="D96CA3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31989"/>
    <w:multiLevelType w:val="multilevel"/>
    <w:tmpl w:val="B52A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F0899"/>
    <w:multiLevelType w:val="multilevel"/>
    <w:tmpl w:val="28E41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3687C"/>
    <w:multiLevelType w:val="multilevel"/>
    <w:tmpl w:val="4FC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EE456B"/>
    <w:multiLevelType w:val="multilevel"/>
    <w:tmpl w:val="AF9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480B8F"/>
    <w:multiLevelType w:val="hybridMultilevel"/>
    <w:tmpl w:val="76541598"/>
    <w:lvl w:ilvl="0" w:tplc="EBCCB50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656054">
    <w:abstractNumId w:val="5"/>
  </w:num>
  <w:num w:numId="2" w16cid:durableId="1693728430">
    <w:abstractNumId w:val="2"/>
  </w:num>
  <w:num w:numId="3" w16cid:durableId="763763680">
    <w:abstractNumId w:val="4"/>
  </w:num>
  <w:num w:numId="4" w16cid:durableId="736519134">
    <w:abstractNumId w:val="3"/>
  </w:num>
  <w:num w:numId="5" w16cid:durableId="494490803">
    <w:abstractNumId w:val="1"/>
  </w:num>
  <w:num w:numId="6" w16cid:durableId="66081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87"/>
    <w:rsid w:val="000132D7"/>
    <w:rsid w:val="00070794"/>
    <w:rsid w:val="000B4C61"/>
    <w:rsid w:val="00134111"/>
    <w:rsid w:val="001B2BF1"/>
    <w:rsid w:val="00211EE8"/>
    <w:rsid w:val="00233073"/>
    <w:rsid w:val="00284C83"/>
    <w:rsid w:val="00291AA8"/>
    <w:rsid w:val="002B2655"/>
    <w:rsid w:val="002B2B83"/>
    <w:rsid w:val="002D474D"/>
    <w:rsid w:val="003257D1"/>
    <w:rsid w:val="003438BD"/>
    <w:rsid w:val="003506E4"/>
    <w:rsid w:val="00386A40"/>
    <w:rsid w:val="003A224C"/>
    <w:rsid w:val="0040588E"/>
    <w:rsid w:val="004608EF"/>
    <w:rsid w:val="00460DDC"/>
    <w:rsid w:val="00475F82"/>
    <w:rsid w:val="004D132F"/>
    <w:rsid w:val="004D1AD3"/>
    <w:rsid w:val="005143E1"/>
    <w:rsid w:val="0054443E"/>
    <w:rsid w:val="005C0A78"/>
    <w:rsid w:val="005E2687"/>
    <w:rsid w:val="005F14DA"/>
    <w:rsid w:val="005F20B1"/>
    <w:rsid w:val="00722097"/>
    <w:rsid w:val="00742BF2"/>
    <w:rsid w:val="00745077"/>
    <w:rsid w:val="0078615D"/>
    <w:rsid w:val="007D1B5B"/>
    <w:rsid w:val="007E0D03"/>
    <w:rsid w:val="008D2E72"/>
    <w:rsid w:val="009502B1"/>
    <w:rsid w:val="00961687"/>
    <w:rsid w:val="009956E7"/>
    <w:rsid w:val="009F7FCC"/>
    <w:rsid w:val="00A06E3B"/>
    <w:rsid w:val="00AC24B6"/>
    <w:rsid w:val="00B45CAB"/>
    <w:rsid w:val="00BB7900"/>
    <w:rsid w:val="00BD71AD"/>
    <w:rsid w:val="00C50AA0"/>
    <w:rsid w:val="00C75F6F"/>
    <w:rsid w:val="00D661A3"/>
    <w:rsid w:val="00EC6A61"/>
    <w:rsid w:val="00F3206C"/>
    <w:rsid w:val="00F41C5F"/>
    <w:rsid w:val="00F553E0"/>
    <w:rsid w:val="00FC0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1D91"/>
  <w15:chartTrackingRefBased/>
  <w15:docId w15:val="{75386A27-93B2-46FF-9FF4-E749AB9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687"/>
    <w:rPr>
      <w:rFonts w:eastAsiaTheme="majorEastAsia" w:cstheme="majorBidi"/>
      <w:color w:val="272727" w:themeColor="text1" w:themeTint="D8"/>
    </w:rPr>
  </w:style>
  <w:style w:type="paragraph" w:styleId="Title">
    <w:name w:val="Title"/>
    <w:basedOn w:val="Normal"/>
    <w:next w:val="Normal"/>
    <w:link w:val="TitleChar"/>
    <w:qFormat/>
    <w:rsid w:val="00961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1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687"/>
    <w:pPr>
      <w:spacing w:before="160"/>
      <w:jc w:val="center"/>
    </w:pPr>
    <w:rPr>
      <w:i/>
      <w:iCs/>
      <w:color w:val="404040" w:themeColor="text1" w:themeTint="BF"/>
    </w:rPr>
  </w:style>
  <w:style w:type="character" w:customStyle="1" w:styleId="QuoteChar">
    <w:name w:val="Quote Char"/>
    <w:basedOn w:val="DefaultParagraphFont"/>
    <w:link w:val="Quote"/>
    <w:uiPriority w:val="29"/>
    <w:rsid w:val="00961687"/>
    <w:rPr>
      <w:i/>
      <w:iCs/>
      <w:color w:val="404040" w:themeColor="text1" w:themeTint="BF"/>
    </w:rPr>
  </w:style>
  <w:style w:type="paragraph" w:styleId="ListParagraph">
    <w:name w:val="List Paragraph"/>
    <w:basedOn w:val="Normal"/>
    <w:uiPriority w:val="34"/>
    <w:qFormat/>
    <w:rsid w:val="00961687"/>
    <w:pPr>
      <w:ind w:left="720"/>
      <w:contextualSpacing/>
    </w:pPr>
  </w:style>
  <w:style w:type="character" w:styleId="IntenseEmphasis">
    <w:name w:val="Intense Emphasis"/>
    <w:basedOn w:val="DefaultParagraphFont"/>
    <w:uiPriority w:val="21"/>
    <w:qFormat/>
    <w:rsid w:val="00961687"/>
    <w:rPr>
      <w:i/>
      <w:iCs/>
      <w:color w:val="0F4761" w:themeColor="accent1" w:themeShade="BF"/>
    </w:rPr>
  </w:style>
  <w:style w:type="paragraph" w:styleId="IntenseQuote">
    <w:name w:val="Intense Quote"/>
    <w:basedOn w:val="Normal"/>
    <w:next w:val="Normal"/>
    <w:link w:val="IntenseQuoteChar"/>
    <w:uiPriority w:val="30"/>
    <w:qFormat/>
    <w:rsid w:val="00961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687"/>
    <w:rPr>
      <w:i/>
      <w:iCs/>
      <w:color w:val="0F4761" w:themeColor="accent1" w:themeShade="BF"/>
    </w:rPr>
  </w:style>
  <w:style w:type="character" w:styleId="IntenseReference">
    <w:name w:val="Intense Reference"/>
    <w:basedOn w:val="DefaultParagraphFont"/>
    <w:uiPriority w:val="32"/>
    <w:qFormat/>
    <w:rsid w:val="00961687"/>
    <w:rPr>
      <w:b/>
      <w:bCs/>
      <w:smallCaps/>
      <w:color w:val="0F4761" w:themeColor="accent1" w:themeShade="BF"/>
      <w:spacing w:val="5"/>
    </w:rPr>
  </w:style>
  <w:style w:type="table" w:styleId="TableGrid">
    <w:name w:val="Table Grid"/>
    <w:basedOn w:val="TableNormal"/>
    <w:uiPriority w:val="39"/>
    <w:rsid w:val="0096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rsid w:val="00961687"/>
    <w:pPr>
      <w:tabs>
        <w:tab w:val="right" w:pos="9497"/>
      </w:tabs>
      <w:spacing w:after="0" w:line="240" w:lineRule="auto"/>
    </w:pPr>
    <w:rPr>
      <w:rFonts w:ascii="Arial" w:eastAsia="Times New Roman" w:hAnsi="Arial" w:cs="Times New Roman"/>
      <w:b/>
      <w:color w:val="000000"/>
      <w:kern w:val="0"/>
      <w:sz w:val="28"/>
      <w:szCs w:val="28"/>
      <w14:ligatures w14:val="none"/>
    </w:rPr>
  </w:style>
  <w:style w:type="paragraph" w:styleId="NormalWeb">
    <w:name w:val="Normal (Web)"/>
    <w:basedOn w:val="Normal"/>
    <w:uiPriority w:val="99"/>
    <w:semiHidden/>
    <w:unhideWhenUsed/>
    <w:rsid w:val="000132D7"/>
    <w:rPr>
      <w:rFonts w:ascii="Times New Roman" w:hAnsi="Times New Roman" w:cs="Times New Roman"/>
      <w:sz w:val="24"/>
      <w:szCs w:val="24"/>
    </w:rPr>
  </w:style>
  <w:style w:type="character" w:styleId="Hyperlink">
    <w:name w:val="Hyperlink"/>
    <w:basedOn w:val="DefaultParagraphFont"/>
    <w:uiPriority w:val="99"/>
    <w:unhideWhenUsed/>
    <w:rsid w:val="00EC6A61"/>
    <w:rPr>
      <w:color w:val="467886" w:themeColor="hyperlink"/>
      <w:u w:val="single"/>
    </w:rPr>
  </w:style>
  <w:style w:type="character" w:styleId="UnresolvedMention">
    <w:name w:val="Unresolved Mention"/>
    <w:basedOn w:val="DefaultParagraphFont"/>
    <w:uiPriority w:val="99"/>
    <w:semiHidden/>
    <w:unhideWhenUsed/>
    <w:rsid w:val="00EC6A61"/>
    <w:rPr>
      <w:color w:val="605E5C"/>
      <w:shd w:val="clear" w:color="auto" w:fill="E1DFDD"/>
    </w:rPr>
  </w:style>
  <w:style w:type="character" w:styleId="CommentReference">
    <w:name w:val="annotation reference"/>
    <w:basedOn w:val="DefaultParagraphFont"/>
    <w:uiPriority w:val="99"/>
    <w:semiHidden/>
    <w:unhideWhenUsed/>
    <w:rsid w:val="005143E1"/>
    <w:rPr>
      <w:sz w:val="16"/>
      <w:szCs w:val="16"/>
    </w:rPr>
  </w:style>
  <w:style w:type="paragraph" w:styleId="CommentText">
    <w:name w:val="annotation text"/>
    <w:basedOn w:val="Normal"/>
    <w:link w:val="CommentTextChar"/>
    <w:uiPriority w:val="99"/>
    <w:unhideWhenUsed/>
    <w:rsid w:val="005143E1"/>
    <w:pPr>
      <w:spacing w:line="240" w:lineRule="auto"/>
    </w:pPr>
    <w:rPr>
      <w:sz w:val="20"/>
      <w:szCs w:val="20"/>
    </w:rPr>
  </w:style>
  <w:style w:type="character" w:customStyle="1" w:styleId="CommentTextChar">
    <w:name w:val="Comment Text Char"/>
    <w:basedOn w:val="DefaultParagraphFont"/>
    <w:link w:val="CommentText"/>
    <w:uiPriority w:val="99"/>
    <w:rsid w:val="005143E1"/>
    <w:rPr>
      <w:sz w:val="20"/>
      <w:szCs w:val="20"/>
    </w:rPr>
  </w:style>
  <w:style w:type="paragraph" w:styleId="CommentSubject">
    <w:name w:val="annotation subject"/>
    <w:basedOn w:val="CommentText"/>
    <w:next w:val="CommentText"/>
    <w:link w:val="CommentSubjectChar"/>
    <w:uiPriority w:val="99"/>
    <w:semiHidden/>
    <w:unhideWhenUsed/>
    <w:rsid w:val="005143E1"/>
    <w:rPr>
      <w:b/>
      <w:bCs/>
    </w:rPr>
  </w:style>
  <w:style w:type="character" w:customStyle="1" w:styleId="CommentSubjectChar">
    <w:name w:val="Comment Subject Char"/>
    <w:basedOn w:val="CommentTextChar"/>
    <w:link w:val="CommentSubject"/>
    <w:uiPriority w:val="99"/>
    <w:semiHidden/>
    <w:rsid w:val="005143E1"/>
    <w:rPr>
      <w:b/>
      <w:bCs/>
      <w:sz w:val="20"/>
      <w:szCs w:val="20"/>
    </w:rPr>
  </w:style>
  <w:style w:type="paragraph" w:styleId="Revision">
    <w:name w:val="Revision"/>
    <w:hidden/>
    <w:uiPriority w:val="99"/>
    <w:semiHidden/>
    <w:rsid w:val="00C50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7953">
      <w:bodyDiv w:val="1"/>
      <w:marLeft w:val="0"/>
      <w:marRight w:val="0"/>
      <w:marTop w:val="0"/>
      <w:marBottom w:val="0"/>
      <w:divBdr>
        <w:top w:val="none" w:sz="0" w:space="0" w:color="auto"/>
        <w:left w:val="none" w:sz="0" w:space="0" w:color="auto"/>
        <w:bottom w:val="none" w:sz="0" w:space="0" w:color="auto"/>
        <w:right w:val="none" w:sz="0" w:space="0" w:color="auto"/>
      </w:divBdr>
    </w:div>
    <w:div w:id="283775552">
      <w:bodyDiv w:val="1"/>
      <w:marLeft w:val="0"/>
      <w:marRight w:val="0"/>
      <w:marTop w:val="0"/>
      <w:marBottom w:val="0"/>
      <w:divBdr>
        <w:top w:val="none" w:sz="0" w:space="0" w:color="auto"/>
        <w:left w:val="none" w:sz="0" w:space="0" w:color="auto"/>
        <w:bottom w:val="none" w:sz="0" w:space="0" w:color="auto"/>
        <w:right w:val="none" w:sz="0" w:space="0" w:color="auto"/>
      </w:divBdr>
    </w:div>
    <w:div w:id="293028898">
      <w:bodyDiv w:val="1"/>
      <w:marLeft w:val="0"/>
      <w:marRight w:val="0"/>
      <w:marTop w:val="0"/>
      <w:marBottom w:val="0"/>
      <w:divBdr>
        <w:top w:val="none" w:sz="0" w:space="0" w:color="auto"/>
        <w:left w:val="none" w:sz="0" w:space="0" w:color="auto"/>
        <w:bottom w:val="none" w:sz="0" w:space="0" w:color="auto"/>
        <w:right w:val="none" w:sz="0" w:space="0" w:color="auto"/>
      </w:divBdr>
    </w:div>
    <w:div w:id="299196006">
      <w:bodyDiv w:val="1"/>
      <w:marLeft w:val="0"/>
      <w:marRight w:val="0"/>
      <w:marTop w:val="0"/>
      <w:marBottom w:val="0"/>
      <w:divBdr>
        <w:top w:val="none" w:sz="0" w:space="0" w:color="auto"/>
        <w:left w:val="none" w:sz="0" w:space="0" w:color="auto"/>
        <w:bottom w:val="none" w:sz="0" w:space="0" w:color="auto"/>
        <w:right w:val="none" w:sz="0" w:space="0" w:color="auto"/>
      </w:divBdr>
    </w:div>
    <w:div w:id="321155828">
      <w:bodyDiv w:val="1"/>
      <w:marLeft w:val="0"/>
      <w:marRight w:val="0"/>
      <w:marTop w:val="0"/>
      <w:marBottom w:val="0"/>
      <w:divBdr>
        <w:top w:val="none" w:sz="0" w:space="0" w:color="auto"/>
        <w:left w:val="none" w:sz="0" w:space="0" w:color="auto"/>
        <w:bottom w:val="none" w:sz="0" w:space="0" w:color="auto"/>
        <w:right w:val="none" w:sz="0" w:space="0" w:color="auto"/>
      </w:divBdr>
    </w:div>
    <w:div w:id="421343394">
      <w:bodyDiv w:val="1"/>
      <w:marLeft w:val="0"/>
      <w:marRight w:val="0"/>
      <w:marTop w:val="0"/>
      <w:marBottom w:val="0"/>
      <w:divBdr>
        <w:top w:val="none" w:sz="0" w:space="0" w:color="auto"/>
        <w:left w:val="none" w:sz="0" w:space="0" w:color="auto"/>
        <w:bottom w:val="none" w:sz="0" w:space="0" w:color="auto"/>
        <w:right w:val="none" w:sz="0" w:space="0" w:color="auto"/>
      </w:divBdr>
    </w:div>
    <w:div w:id="442653844">
      <w:bodyDiv w:val="1"/>
      <w:marLeft w:val="0"/>
      <w:marRight w:val="0"/>
      <w:marTop w:val="0"/>
      <w:marBottom w:val="0"/>
      <w:divBdr>
        <w:top w:val="none" w:sz="0" w:space="0" w:color="auto"/>
        <w:left w:val="none" w:sz="0" w:space="0" w:color="auto"/>
        <w:bottom w:val="none" w:sz="0" w:space="0" w:color="auto"/>
        <w:right w:val="none" w:sz="0" w:space="0" w:color="auto"/>
      </w:divBdr>
    </w:div>
    <w:div w:id="654838581">
      <w:bodyDiv w:val="1"/>
      <w:marLeft w:val="0"/>
      <w:marRight w:val="0"/>
      <w:marTop w:val="0"/>
      <w:marBottom w:val="0"/>
      <w:divBdr>
        <w:top w:val="none" w:sz="0" w:space="0" w:color="auto"/>
        <w:left w:val="none" w:sz="0" w:space="0" w:color="auto"/>
        <w:bottom w:val="none" w:sz="0" w:space="0" w:color="auto"/>
        <w:right w:val="none" w:sz="0" w:space="0" w:color="auto"/>
      </w:divBdr>
    </w:div>
    <w:div w:id="687606868">
      <w:bodyDiv w:val="1"/>
      <w:marLeft w:val="0"/>
      <w:marRight w:val="0"/>
      <w:marTop w:val="0"/>
      <w:marBottom w:val="0"/>
      <w:divBdr>
        <w:top w:val="none" w:sz="0" w:space="0" w:color="auto"/>
        <w:left w:val="none" w:sz="0" w:space="0" w:color="auto"/>
        <w:bottom w:val="none" w:sz="0" w:space="0" w:color="auto"/>
        <w:right w:val="none" w:sz="0" w:space="0" w:color="auto"/>
      </w:divBdr>
    </w:div>
    <w:div w:id="793138696">
      <w:bodyDiv w:val="1"/>
      <w:marLeft w:val="0"/>
      <w:marRight w:val="0"/>
      <w:marTop w:val="0"/>
      <w:marBottom w:val="0"/>
      <w:divBdr>
        <w:top w:val="none" w:sz="0" w:space="0" w:color="auto"/>
        <w:left w:val="none" w:sz="0" w:space="0" w:color="auto"/>
        <w:bottom w:val="none" w:sz="0" w:space="0" w:color="auto"/>
        <w:right w:val="none" w:sz="0" w:space="0" w:color="auto"/>
      </w:divBdr>
    </w:div>
    <w:div w:id="858356329">
      <w:bodyDiv w:val="1"/>
      <w:marLeft w:val="0"/>
      <w:marRight w:val="0"/>
      <w:marTop w:val="0"/>
      <w:marBottom w:val="0"/>
      <w:divBdr>
        <w:top w:val="none" w:sz="0" w:space="0" w:color="auto"/>
        <w:left w:val="none" w:sz="0" w:space="0" w:color="auto"/>
        <w:bottom w:val="none" w:sz="0" w:space="0" w:color="auto"/>
        <w:right w:val="none" w:sz="0" w:space="0" w:color="auto"/>
      </w:divBdr>
    </w:div>
    <w:div w:id="908734006">
      <w:bodyDiv w:val="1"/>
      <w:marLeft w:val="0"/>
      <w:marRight w:val="0"/>
      <w:marTop w:val="0"/>
      <w:marBottom w:val="0"/>
      <w:divBdr>
        <w:top w:val="none" w:sz="0" w:space="0" w:color="auto"/>
        <w:left w:val="none" w:sz="0" w:space="0" w:color="auto"/>
        <w:bottom w:val="none" w:sz="0" w:space="0" w:color="auto"/>
        <w:right w:val="none" w:sz="0" w:space="0" w:color="auto"/>
      </w:divBdr>
    </w:div>
    <w:div w:id="1091198463">
      <w:bodyDiv w:val="1"/>
      <w:marLeft w:val="0"/>
      <w:marRight w:val="0"/>
      <w:marTop w:val="0"/>
      <w:marBottom w:val="0"/>
      <w:divBdr>
        <w:top w:val="none" w:sz="0" w:space="0" w:color="auto"/>
        <w:left w:val="none" w:sz="0" w:space="0" w:color="auto"/>
        <w:bottom w:val="none" w:sz="0" w:space="0" w:color="auto"/>
        <w:right w:val="none" w:sz="0" w:space="0" w:color="auto"/>
      </w:divBdr>
    </w:div>
    <w:div w:id="1093355387">
      <w:bodyDiv w:val="1"/>
      <w:marLeft w:val="0"/>
      <w:marRight w:val="0"/>
      <w:marTop w:val="0"/>
      <w:marBottom w:val="0"/>
      <w:divBdr>
        <w:top w:val="none" w:sz="0" w:space="0" w:color="auto"/>
        <w:left w:val="none" w:sz="0" w:space="0" w:color="auto"/>
        <w:bottom w:val="none" w:sz="0" w:space="0" w:color="auto"/>
        <w:right w:val="none" w:sz="0" w:space="0" w:color="auto"/>
      </w:divBdr>
    </w:div>
    <w:div w:id="1419403758">
      <w:bodyDiv w:val="1"/>
      <w:marLeft w:val="0"/>
      <w:marRight w:val="0"/>
      <w:marTop w:val="0"/>
      <w:marBottom w:val="0"/>
      <w:divBdr>
        <w:top w:val="none" w:sz="0" w:space="0" w:color="auto"/>
        <w:left w:val="none" w:sz="0" w:space="0" w:color="auto"/>
        <w:bottom w:val="none" w:sz="0" w:space="0" w:color="auto"/>
        <w:right w:val="none" w:sz="0" w:space="0" w:color="auto"/>
      </w:divBdr>
    </w:div>
    <w:div w:id="1450053019">
      <w:bodyDiv w:val="1"/>
      <w:marLeft w:val="0"/>
      <w:marRight w:val="0"/>
      <w:marTop w:val="0"/>
      <w:marBottom w:val="0"/>
      <w:divBdr>
        <w:top w:val="none" w:sz="0" w:space="0" w:color="auto"/>
        <w:left w:val="none" w:sz="0" w:space="0" w:color="auto"/>
        <w:bottom w:val="none" w:sz="0" w:space="0" w:color="auto"/>
        <w:right w:val="none" w:sz="0" w:space="0" w:color="auto"/>
      </w:divBdr>
    </w:div>
    <w:div w:id="1466508953">
      <w:bodyDiv w:val="1"/>
      <w:marLeft w:val="0"/>
      <w:marRight w:val="0"/>
      <w:marTop w:val="0"/>
      <w:marBottom w:val="0"/>
      <w:divBdr>
        <w:top w:val="none" w:sz="0" w:space="0" w:color="auto"/>
        <w:left w:val="none" w:sz="0" w:space="0" w:color="auto"/>
        <w:bottom w:val="none" w:sz="0" w:space="0" w:color="auto"/>
        <w:right w:val="none" w:sz="0" w:space="0" w:color="auto"/>
      </w:divBdr>
    </w:div>
    <w:div w:id="1470246537">
      <w:bodyDiv w:val="1"/>
      <w:marLeft w:val="0"/>
      <w:marRight w:val="0"/>
      <w:marTop w:val="0"/>
      <w:marBottom w:val="0"/>
      <w:divBdr>
        <w:top w:val="none" w:sz="0" w:space="0" w:color="auto"/>
        <w:left w:val="none" w:sz="0" w:space="0" w:color="auto"/>
        <w:bottom w:val="none" w:sz="0" w:space="0" w:color="auto"/>
        <w:right w:val="none" w:sz="0" w:space="0" w:color="auto"/>
      </w:divBdr>
    </w:div>
    <w:div w:id="1491142656">
      <w:bodyDiv w:val="1"/>
      <w:marLeft w:val="0"/>
      <w:marRight w:val="0"/>
      <w:marTop w:val="0"/>
      <w:marBottom w:val="0"/>
      <w:divBdr>
        <w:top w:val="none" w:sz="0" w:space="0" w:color="auto"/>
        <w:left w:val="none" w:sz="0" w:space="0" w:color="auto"/>
        <w:bottom w:val="none" w:sz="0" w:space="0" w:color="auto"/>
        <w:right w:val="none" w:sz="0" w:space="0" w:color="auto"/>
      </w:divBdr>
    </w:div>
    <w:div w:id="1496527593">
      <w:bodyDiv w:val="1"/>
      <w:marLeft w:val="0"/>
      <w:marRight w:val="0"/>
      <w:marTop w:val="0"/>
      <w:marBottom w:val="0"/>
      <w:divBdr>
        <w:top w:val="none" w:sz="0" w:space="0" w:color="auto"/>
        <w:left w:val="none" w:sz="0" w:space="0" w:color="auto"/>
        <w:bottom w:val="none" w:sz="0" w:space="0" w:color="auto"/>
        <w:right w:val="none" w:sz="0" w:space="0" w:color="auto"/>
      </w:divBdr>
    </w:div>
    <w:div w:id="1627733002">
      <w:bodyDiv w:val="1"/>
      <w:marLeft w:val="0"/>
      <w:marRight w:val="0"/>
      <w:marTop w:val="0"/>
      <w:marBottom w:val="0"/>
      <w:divBdr>
        <w:top w:val="none" w:sz="0" w:space="0" w:color="auto"/>
        <w:left w:val="none" w:sz="0" w:space="0" w:color="auto"/>
        <w:bottom w:val="none" w:sz="0" w:space="0" w:color="auto"/>
        <w:right w:val="none" w:sz="0" w:space="0" w:color="auto"/>
      </w:divBdr>
    </w:div>
    <w:div w:id="1696999518">
      <w:bodyDiv w:val="1"/>
      <w:marLeft w:val="0"/>
      <w:marRight w:val="0"/>
      <w:marTop w:val="0"/>
      <w:marBottom w:val="0"/>
      <w:divBdr>
        <w:top w:val="none" w:sz="0" w:space="0" w:color="auto"/>
        <w:left w:val="none" w:sz="0" w:space="0" w:color="auto"/>
        <w:bottom w:val="none" w:sz="0" w:space="0" w:color="auto"/>
        <w:right w:val="none" w:sz="0" w:space="0" w:color="auto"/>
      </w:divBdr>
    </w:div>
    <w:div w:id="1756635596">
      <w:bodyDiv w:val="1"/>
      <w:marLeft w:val="0"/>
      <w:marRight w:val="0"/>
      <w:marTop w:val="0"/>
      <w:marBottom w:val="0"/>
      <w:divBdr>
        <w:top w:val="none" w:sz="0" w:space="0" w:color="auto"/>
        <w:left w:val="none" w:sz="0" w:space="0" w:color="auto"/>
        <w:bottom w:val="none" w:sz="0" w:space="0" w:color="auto"/>
        <w:right w:val="none" w:sz="0" w:space="0" w:color="auto"/>
      </w:divBdr>
    </w:div>
    <w:div w:id="1840655596">
      <w:bodyDiv w:val="1"/>
      <w:marLeft w:val="0"/>
      <w:marRight w:val="0"/>
      <w:marTop w:val="0"/>
      <w:marBottom w:val="0"/>
      <w:divBdr>
        <w:top w:val="none" w:sz="0" w:space="0" w:color="auto"/>
        <w:left w:val="none" w:sz="0" w:space="0" w:color="auto"/>
        <w:bottom w:val="none" w:sz="0" w:space="0" w:color="auto"/>
        <w:right w:val="none" w:sz="0" w:space="0" w:color="auto"/>
      </w:divBdr>
    </w:div>
    <w:div w:id="1998417446">
      <w:bodyDiv w:val="1"/>
      <w:marLeft w:val="0"/>
      <w:marRight w:val="0"/>
      <w:marTop w:val="0"/>
      <w:marBottom w:val="0"/>
      <w:divBdr>
        <w:top w:val="none" w:sz="0" w:space="0" w:color="auto"/>
        <w:left w:val="none" w:sz="0" w:space="0" w:color="auto"/>
        <w:bottom w:val="none" w:sz="0" w:space="0" w:color="auto"/>
        <w:right w:val="none" w:sz="0" w:space="0" w:color="auto"/>
      </w:divBdr>
    </w:div>
    <w:div w:id="20618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Daniel@np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ees5@npt.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7346</Characters>
  <Application>Microsoft Office Word</Application>
  <DocSecurity>0</DocSecurity>
  <Lines>209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Diane Hopkins</cp:lastModifiedBy>
  <cp:revision>2</cp:revision>
  <dcterms:created xsi:type="dcterms:W3CDTF">2026-03-23T09:34:00Z</dcterms:created>
  <dcterms:modified xsi:type="dcterms:W3CDTF">2026-03-23T09:34:00Z</dcterms:modified>
</cp:coreProperties>
</file>